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35.2019.73 vom 22. Januar 2020</w:t>
      </w:r>
    </w:p>
    <w:p>
      <w:r>
        <w:t>TI Tribunale d'appello, 2020-01-22, IT</w:t>
      </w:r>
    </w:p>
    <w:p>
      <w:r>
        <w:rPr>
          <w:b/>
        </w:rPr>
        <w:t xml:space="preserve">Quelle: </w:t>
      </w:r>
      <w:r>
        <w:t>https://mcp.opencaselaw.ch/entscheid/ti_gerichte_35.2019.73</w:t>
      </w:r>
    </w:p>
    <w:p>
      <w:r>
        <w:t>FR: TI_GERICHTE 35.2019.73 du 22 janvier 2020</w:t>
      </w:r>
    </w:p>
    <w:p>
      <w:r>
        <w:t>IT: TI_GERICHTE 35.2019.73 del 22 gennaio 2020</w:t>
      </w:r>
    </w:p>
    <w:p>
      <w:pPr>
        <w:pStyle w:val="Heading2"/>
      </w:pPr>
      <w:r>
        <w:t>Regeste</w:t>
      </w:r>
    </w:p>
    <w:p>
      <w:r>
        <w:t>Discussa stabilizzazione dello stato di salute infortunistico e la determinazione del diritto a una rendita d'invalidità (trattato in particolare l'aspetto della deduzione sociale legata alle limitazioni dipendenti dal danno alla salute) e a un'IMI</w:t>
      </w:r>
    </w:p>
    <w:p>
      <w:pPr>
        <w:pStyle w:val="Heading2"/>
      </w:pPr>
      <w:r>
        <w:t>Erwägungen</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di recente dal TF, segnatamente nella DTF 141 V 1 consid. 5. 2.4.6.   Nella presente fattispecie, l’istituto convenuto ha quantificato in fr. 52'581.38 il reddito da invalido, facendo capo alla tabella RSS TA1 2016, media totale, livello di qualifica 1 (“attività semplici e ripetitive”), donne, aggiornato al 2019, applicando una deduzione sociale ex DTF 126 V 80 del 5% (cfr. doc. 188, p. 1). Con la propria impugnativa, l’assicurata contesta l’entità del reddito da invalido soltanto nella misura in cui l’amministrazione non ha operato alcuna riduzione a titolo di gap salariale e ne ha applicata una del 5% a titolo di deduzione sociale (cfr. doc. I, p. 2). Il TCA può pertanto limitare il proprio esame agli aspetti contestati. Per quanto riguarda la questione del gap salariale,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Nel caso concreto, una riduzione a titolo di gap salariale non entra in linea di conto, nella misura in cui i dipendenti della __________ sottostanno a un proprio contratto collettivo di lavoro nazionale e vengono retribuiti nel rispetto dei salari minimi ivi previsti (in questo senso, si veda la STCA 35.2017.121 del 20 marzo 2018 consid. 2.2.6., cresciuta incontestata in giudicato). Trattandosi del secondo aspetto litigioso, in ossequio alla giurisprudenza federale, occorre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concreto, la ricorrente sostiene che il reddito da invalido andrebbe decurtato del 10% almeno per tenere conto del fatto che la sua capacità lavorativa residua potrebbe essere messa a frutto soltanto in attività leggere (doc. I, p. 2). Secondo la più recente giurisprudenza federale, una riduzione sociale per le limitazioni dipendenti dal danno alla salute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Nel caso di specie, dalla documentazione agli atti emerge che, nonostante il danno all’arto superiore destro, RI 1 sarebbe ancora in grado di esercitare, senza limiti di tempo o di rendimento, un’attività lavorativa leggera, in cui possa evitare di trasportare/sollevare pesi superiori ai 5 kg e di svolgere mansioni sopra il livello delle spalle. Secondo questo Tribunale, tenuto conto dell’esigibilità appena descritta, occorre ammettere che la ricorrente beneficia di un ventaglio di attività sostitutive esigibili ancora sufficientemente ampio, motivo per il quale non può essere pretesa l’applicazione di una decurtazione più ampia rispetto a quella già ammessa dall’assicuratore resistente (in questo senso, si veda, ad esempio, la STF 8C_122/2019 del 10 settembre 2019 consid. 4.3.1.4, concernente un assicurato i cui limiti funzionali riguardavano i movimenti ripetitivi del gomito destro e il trasporto di pesi superiori ai 7 kg, precisato che quest’ultimo costituiva un valore massimo nel senso che il trasporto di pesi, anche di minore entità, doveva alternarsi a periodi di riposo per il braccio destro oppure la succitata STF 8C_174/2019 consid. 5.2.2, riguardante un’assicurata in grado d’impiegare il suo arto superiore sinistro soltanto in attività leggere e non ripetitive).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4, già un gran numero di attività leggere (cfr. STF 8C_841/2017 del 14 maggio 2018 consid. 5.2.2.2 e riferimenti). I restanti fattori elencati nella DTF 126 V 80 non giustificano ulteriori riduzioni percentuali del reddito statistico da invalido, ciò che del resto la ricorrente neppure pretende. Il reddito da invalido ammonta quindi a fr. 52'581.38 . Ora, confrontando i fr. 52'581.38 al reddito che l’insorgente avrebbe potuto conseguire senza il danno alla salute, e cioè fr. 51'610 (cfr. supra , consid. 2.4.4.), risulta che il danno alla salute infortunistico non le cagiona alcuna perdita di guadagno. La decisione su opposizione impugnata merita conferma anche nella misura in cui è stato negato il diritto a una rendita d’invalidità. 2.5. Entità della menomazione dell’integrità.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l’assicuratore LAINF resistente, sentito il parere del dott. __________, ha assegnato alla ricorrente un’IMI del 10% (cfr. doc. 190, p. 2). Questo il tenore dell’apprezzamento elaborato dal medico __________ appena citato il 4 dicembre 2017: " (…). 1. Reperti L’assicurata è portatrice di uno stato post-traumatico della spalla destra con una rottura parziale della cuffia. Lo stato clinico è complicato da una importante sopravalutazione della sintomatologia algica, ciò che rende fortemente sconsigliato un intervento chirurgico da parte degli specialisti (dr. med. __________, prof. dr. med. __________ e dr. med. __________). La valutazione della IMI non è quindi possibile per quanto riguarda la limitazione funzionale in quanto la stessa non è oggettivabile. 2. Valutazione del danno all’integrità 10% 3. Motivazione Considerata la presenza di questa piccola rottura del sovraspinato di dimensione di 10 x 5 mm e considerato che la valutazione non può essere fatta in modo oggettivabile per quanto riguarda la funzionalità della spalla prendo in considerazione questa situazione analoga ad una spalla affetta da una periartrite omero-scapolare di grado medio, indennizzabile quindi con il 10%.” (doc. 86) Il dott. __________ ha confermato la propria valutazione della menomazione dell’integrità a margine della visita di chiusura dell’11 dicembre 2018 (doc. 175, p. 4) e, ancora, con il proprio apprezzamento del 24 aprile 2019 (doc. 211, p. 5: “In base a queste considerazioni sostengo che l’artrosi AC , peraltro modesta, della spalla destra di cui la paziente è affetta, non è assolutamente in relazione causale con l’infortunio in questione. Mantengo quindi invariata la mia valutazione sia per quanto riguarda la IMI , sia per quanto riguarda …” – il corsivo è del redattore). Con il proprio ricorso, l’assicurata pretende di aver diritto a un’IMI del 15% almeno, e ciò alla luce delle indicazioni contenute nel referto 7 giugno 2019 del dott. __________ (doc. III, p. 1). Chiamato a pronunciarsi su una questione di carattere squisitamente medico, il TCA ritiene che l’apprezzamento della menomazione dell’integrità espresso dal dott. __________ possa validamente costituire da fondamento al proprio giudizio. Da un canto, va constatato che l’esistenza di un’estensione della sintomatologia è in effetti stata riconosciuta, oltre che dal medico __________ dell’CO 1 (cfr. doc. 175, p. 4), anche dal Prof. dott. __________, spec. FMH in chirurgia ortopedica e traumatologia (il quale ha diagnosticato una fibromialgia, in presenza di punti trigger positivi – doc. 65), come pure dal dott. __________, spec. FMH in reumatologia, a margine della valutazione VCF del novembre 2017 (doc. 84, p. 6: “Questo quadro clinico è dominato da un’ amplificazione di sintomi di grado elevato verosimilmente associato a una personalità con tratti istrionici. Vi è un aspetto molto teatrale nell’espressione di dolore che risulta incostante e inadeguata. L’assicurata entra con il braccio destro attaccato al tronco e dà la mano con la sinistra. Alla domanda di rappresentare i dolori su una figura, inizia con la sinistra, quindi passa a utilizzare la destra senza difficoltà oggettive. Mentre si concentra su questo compito non mostra più segni di sofferenza.” – il corsivo è del redattore). Dall’altro, è già stato dimostrato che la diagnosticata artrosi acromion-claveare non costituisce una conseguenza naturale dell’infortunio del febbraio 2017, motivo per il quale né l’artrosi in quanto tale né la sintomatologia algica e le limitazioni funzionali ad essa legate, possono essere prese in considerazione nella valutazione della menomazione dell’integrità. In esito a quanto precede, il fatto che l’assicuratore LAINF abbia posto l’assicurata al beneficio di un’IMI del 10%, non presta il fianco a critiche di sorta.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