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35.2019.71 vom 24. Februar 2020</w:t>
      </w:r>
    </w:p>
    <w:p>
      <w:r>
        <w:t>TI Tribunale d'appello, 2020-02-24, IT</w:t>
      </w:r>
    </w:p>
    <w:p>
      <w:r>
        <w:rPr>
          <w:b/>
        </w:rPr>
        <w:t xml:space="preserve">Quelle: </w:t>
      </w:r>
      <w:r>
        <w:t>https://mcp.opencaselaw.ch/entscheid/ti_gerichte_35.2019.71</w:t>
      </w:r>
    </w:p>
    <w:p>
      <w:r>
        <w:t>FR: TI_GERICHTE 35.2019.71 du 24 février 2020</w:t>
      </w:r>
    </w:p>
    <w:p>
      <w:r>
        <w:t>IT: TI_GERICHTE 35.2019.71 del 24 febbraio 2020</w:t>
      </w:r>
    </w:p>
    <w:p>
      <w:pPr>
        <w:pStyle w:val="Heading2"/>
      </w:pPr>
      <w:r>
        <w:t>Regeste</w:t>
      </w:r>
    </w:p>
    <w:p>
      <w:r>
        <w:t>Discussa la stabilizzazione dello stato di salute infortunistico (negato diritto a ulteriori cure mediche) e l'entità della menomazione dell'integrità (negata eziologia infortunistica ai disturbi al ginocchio sx)</w:t>
      </w:r>
    </w:p>
    <w:p>
      <w:pPr>
        <w:pStyle w:val="Heading2"/>
      </w:pPr>
      <w:r>
        <w:t>Erwägungen</w:t>
      </w:r>
    </w:p>
    <w:p>
      <w:r>
        <w:rPr>
          <w:b/>
        </w:rPr>
        <w:t>E. 20</w:t>
      </w:r>
    </w:p>
    <w:p>
      <w:r>
        <w:t>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2.3.2.   Nel caso di specie, con la decisione su opposizione impugnata, l’istituto resistente ha sostenuto che l’assicurato “… non può vantare alcuna pretesa dato che al momento in cui la CO 1 __________ ha sospeso la copertura delle spese di cura – ad eccezione di un ciclo di fisioterapia all’anno per i prossimi 2-3 anni – l’assicurato era ormai abile al lavoro al 100%.” (doc. 112, p. 4). Chiamata ora a pronunciarsi, questa Corte osserva che l’assicuratore LAINF ha posto termine alle prestazioni sanitarie, salvo assumere il costo di un ciclo di fisioterapia all’anno per 2/3 anni, a far tempo dal mese di dicembre 2018 (doc. 89). Dalle carte processuali si evince che, a margine della visita fiduciaria di controllo del 16 novembre 2018, il dott. __________, spec. FMH in chirurgia ortopedica e traumatologia, ha dichiarato l’assicurato abile in misura completa (doc. 87, p. 4). Questa sua valutazione non risulta smentita da nessun’altra certificazione specialistica e, del resto, l’insorgente non ha in proposito sollevato alcuna specifica obiezione. Ora, assodato che, al più tardi a decorrere dal dicembre 2018 , RI 1 ha ritrovato una capacità del 100% nella sua abituale attività lavorativa di architetto, si deve concludere che da quel momento ulteriori provvedimenti terapeutici non potevano avere lo scopo di migliorare sensibilmente il suo stato di salute infortunistico ai sensi della giurisprudenza citata al considerando 2.3.1. in fine (per un caso analogo, si veda la STCA 35.2019.31 del 26 agosto 2019 consid. 2.5., cresciuta incontestata in giudicato). Se ne deduce pertanto che, in applicazione dell’art. 19 cpv. 1 LAINF, l’amministrazione non può essere tenuta ad assumere prestazioni sanitarie più ampie rispetto a quelle già riconosciute e pertanto, in tale misura, la decisione su opposizione impugnata deve essere confermata. Dato che il ricorrente non ha diritto a una rendita d’invalidità, non può nascere nemmeno un diritto alle prestazioni di cui all’art 21 LAINF (cfr. STF 8C_50/2018 del 20 luglio 2018 e riferimenti ivi menzionati). 2.4. Entità della menomazione dell’integrità.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2.4.4.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sentito il parere del dott. __________, ha assegnato al ricorrente un’IMI del 10% (cfr. doc. 95). Questo quanto sostenuto in proposito dal medico __________ in occasione della visita di controllo del 16 novembre 2018: " (…). 1. Reperti L’assicurato è portatore di postumi importanti e durevoli a seguito di politrauma da incidente della strada (pedone investito da autovettura) con lussazione acromion-claveare bilaterale, fratture costali I, IV e V a sinistra con pneumotorace e successivo drenaggio toracico, contusione ginocchio sinistro su preesistente gonartrosi, distorsione caviglia sinistra. 2. Valutazione del danno all’integrità 10% 3. Motivazione Siamo di fronte a uno stato dopo lussazione acromion-claveare bilaterale con importante e residua instabilità, tale fattispecie è contemplata nella tabella 6.2 CO 1 dove per una instabilità acromion-claveare importante viene riconosciuta una percentuale oscillante tra 0 e 5%. Possiamo fare riferimento anche alla tabella 5.2 dove per un’artrosi acromion-clavicolare grave viene riconosciuta una percentuale dal 5 al 10%. Siamo quindi di fronte ad una instabilità acromion claveare con possibile evoluzione in artrosi. Riteniamo adeguato riconoscere il massimo della percentuale prevista per tale fattispecie, pari al 5% per ciascun lato, che incorpora anche la probabilità di una evoluzione in artrosi della stessa articolazione, per un totale del 10%.” (doc. 88) Da notare, a proposito dei disturbi ai ginocchi, in special modo a quello sinistro, che il dott. __________ ha negato che essi si trovino in una relazione causale naturale con l’infortunio del novembre 2017, essendo imputabili alla “… gonartrosi conseguente ai due episodi traumatici ed alle cure seguite a carico dell’assicurazione __________ e all’assicurazione militare rispettivamente.” (doc. 87, p. 4). Nel frattempo, l’assicurato è stato sottoposto a un’artro-RMN della spalla destra che ha mostrato la presenza di una “artrosi acromion-claveare in paziente con allargamento dell’interlinea articolare su verosimile pregressa lesione capsulo-ligamentaria. Segni di omartrosi e condropatia con estese aree di perdita di sostanza e grossolane formazioni geodiche della testa omerale, cranializzata, nell’ambito di una rottura pressoché completa della cuffia dei rotatori, con risparmio del subscapolare. Involuzione adiposa dei ventri muscolari del sovra e del sottospinato e del piccolo rotondo.” (doc. 106). A margine del consulto dell’8 marzo 2019, il dott. __________, spec. FMH in ortopedia e traumatologia, ha rilevato che l’esame di RMN appena citato aveva evidenziato “una rottura massiva della cuffia dei rotatori che coinvolge il sovrapinoso e il sottospinoso.”. Dal profilo terapeutico, lo specialista curante ha consigliato “… di non effettuare alcuna terapia oppure, se il paziente lo desidera, uno o due volte all’anno sarebbero utili esercizi di rinforzo della muscolatura accessoria della spalla. Nel momento in cui la sintomatologia dovesse diventare non più tollerabile dal paziente, ossia una forte riduzione del movimento come accade nella spalla pseudo-paralitica o dolore o entrambi i sintomi, a quel punto sarà indicato l’impianto di una protesi inversa. Nel caso la condizione clinica si mantenga stabile come in questo momento non saranno necessari ulteriori consultazioni o ulteriori accertamenti.” (doc. 107). Chiamato dall’amministrazione a prendere posizione in merito alla documentazione acquisita nel frattempo, il dott. __________ ha confermato la propria valutazione dell’IMI precisando che essa è “… basata sulle normali tabelle in uso alla CO 1 ed appare equilibrata e rappresentativa della situazione dell’assicurato. Il quadro funzionale della spalla appare ben compensato come anche sostenuto dal dr. med. __________.”. In merito alla diagnosi posta da quest’ultimo alla luce delle risultanze della nota artro-RMN, il medico __________ ha precisato che “si tratta di una lesione massiva cronica di cuffia in artrosi della spalla. Gli elementi caratteristici comprendono una importante degenerazione dei tendini, retrazione muscolare ed involuzione adiposa. Essa si inscrive in un quadro di omartrosi già avanzata con lesioni cartilaginee e presenza di geosi sub-condrali. Viene inoltre descritta una risalita della testa omerale con creazione di una neo-artrosi a livello dell’acromion. Tali quadri s’instaurano normalmente nell’arco di anni. Gli importanti elementi degenerativi sopra descritti, per entità e tipologia delle lesioni, sono da ritenersi di natura prevalentemente morbosa cronica, verosimilmente preesistente all’evento a noi annunciato. L’evento ha solo reso evidente un quadro probabilmente preesistente. Esso pertanto non modifica in modo apprezzabile il giudizio sull’indennità di menomazione all’integrità il quale si riferisce alle sole conseguenze post infortunistiche.” (doc. 109). In corso di causa, il TCA ha chiesto al dott. __________ se condividesse, oppure no, il parere del medico __________ dell’CO 1 a proposito dell’eziologia dei reperti evidenziati dall’artro-RMN (doc. XII). Questo il tenore della risposta fornita dal medico curante specialista: " (…) dopo aver rivisto la cartella e la risonanza magnetica del signor RI 1, concordo con quanto sostenuto dal Dr. __________, ossia che gli aspetti degenerativi a carico della gleno-omerale destra del signor RI 1 sono di natura prevalentemente cronica degenerativa pre-esistente all’infortunio del novembre 2017, in quanto una rottura così estesa e degenerata dei tendini della cuffia ha sicuramente un’origine antecedente a tale data .” (doc. XIII – il corsivo è del redattore) 2.4.6.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2.4.7. N el caso sub judice , chiamata a pronunciarsi su una questione di natura squisitamente medica, questa Corte non vede validi motivi per discostarsi dalla valutazione dell’IMI enunciata dal dott. __________, specialista proprio nella materia che qui interessa, senza che si riveli necessario procedere a ulteriori atti istruttori. Al riguardo, va innanzitutto rilevato che, secondo il parere convergente dei dottori __________ e __________ (cfr. doc. 109 e doc. XIII), quest’ultimo medico curante specialista del ricorrente, gli importanti reperti oggettivati a livello della cuffia rotatoria grazie all’artro-RMN della spalla destra del 27 febbraio 2019, sono sicuramente preesistenti all’evento traumatico assicurato e, dunque, non causati da quest’ultimo. Essi non possono pertanto essere presi in considerazione nella valutazione dell’IMI (in questo contesto, è utile segnalare che, in una sentenza 8C_253/2019 del 13 novembre 2019, il Tribunale federale ha precisato che peggioramenti temporanei dovuti all’infortunio non possono giustificare il riconoscimento di un’indennità, dato che la menomazione indennizzabile deve essere durevole, ciò che è il caso allorquando è prevedibile che essa sussisterà almeno con la stessa gravità durante tutta la vita). D’altro canto, il TCA osserva che il tasso stabilito dal medico fiduciario (5% per ciascuna spalla) rientra nella forchetta prevista dalla tabella n. 5.2 (“ Atteinte à l’intégrité résultant d’arthroses ”) edita dalla __________ dell’CO 1, in caso di artrosi acromio-claveare grave (5-10%) e tiene già conto del prevedibile peggioramento concernente il solo danno alla salute in relazione causale naturale con l’infortunio assicurato (la possibilità che al ricorrente venga impiantata una protesi inversa alla spalla destra è relativa alla diagnosticata rottura della cuffia dei rotatori e, dunque, a un danno alla salute di natura morbosa). In esito a quanto precede, la decisione su opposizione impugnata deve essere confermata nella misura in cui al ricorrente è stata assegnata un’indennità del 10% per la menomazione interessante le spalle. Con l’impugnativa, l’assicurato ha censurato l’agire dell’amministrazione anche nella misura in cui, nella valutazione dell’IMI, avrebbe omesso di considerare il danno al ginocchio sinistro, il quale, a suo avviso, costituirebbe una conseguenza naturale dell’infortunio occorso nel novembre 2017. Dal referto 11 ottobre 2018 del dott. __________, spec. FMH in medicina generale-interna, si evince che RI 1 soffre di dolori al ginocchio sinistro, insorti successivamente all’evento infortunistico e localizzati a livello antero-mediale. Le radiografie effettuate nel frattempo (cfr. doc. 83) hanno evidenziato “… importanti alterazioni degenerative, sicuramente in parte pre-esistenti.” (doc. 81). A margine della visita __________ del 16 novembre 2018, il dott. __________ ha sostenuto che i disturbi in questione non si trovano più in nesso causale con l’infortunio ma sono riconducibili alla gonartrosi bilaterale conseguente a due pregressi eventi traumatici, l’uno a carico della __________, l’altro dell’assicurazione militare (doc. 87, p. 4). Anche su questo specifico aspetto, il TCA ritiene che l’apprezzamento del fiduciario dell’CO 1 possa validamente costituire da base al giudizio che è chiamato a rendere, e ciò vista anche l’assenza agli atti di rapporti specialistici suscettibili di generare dei dubbi, perlomeno lievi, circa la sua affidabilità. Di particolare rilievo è il fatto che risultano in effetti documentati degli antecedenti riguardanti entrambe le ginocchia (in questo senso, si veda il rapporto di uscita dell’Ospedale __________ di __________ - doc. 28, p. 1) e il fatto che l’indagine radiologica ha messo in evidenza uno stato degenerativo già molto avanzato, in assenza di danni strutturali riconducibili a trauma. D’altro canto, nella misura in cui l’insorgente fa valere che prima dell'infortunio del 9 novembre 2017 ha sempre goduto di buona salute, è utile ricordare che la regola del “ post hoc ergo propter hoc ” (dopo questo, dunque a causa di questo) non ha valenza scientifica. La giurisprudenza federale ha infatti stabilito che per il solo fatto di essere insorto dopo l’infortunio, un disturbo alla salute non può già essere ritenuto una sua conseguenza. Secondo l’Alta Corte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8C_335/2018 del 7 maggio 2019; STF 8C_855/2018 del 19 marzo 2019; STF 8C_834/2018 del 19 marzo 2019;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35.2019.7 del 29 aprile 2019 consid. 2.7). Ora, posto che la problematica interessante le ginocchia, in particolare quello sinistro, non costituisce (più) una conseguenza naturale dell’evento infortunistico assicurato, essa non può nemmeno essere presa in considerazione nella valutazione della menomazione dell’integrità.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