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35.2019.58 vom 23. Juni 2015</w:t>
      </w:r>
    </w:p>
    <w:p>
      <w:r>
        <w:t>TI Tribunale d'appello, 2015-06-23, IT</w:t>
      </w:r>
    </w:p>
    <w:p>
      <w:r>
        <w:rPr>
          <w:b/>
        </w:rPr>
        <w:t xml:space="preserve">Quelle: </w:t>
      </w:r>
      <w:r>
        <w:t>https://mcp.opencaselaw.ch/entscheid/ti_gerichte_35.2019.58_d20150623</w:t>
      </w:r>
    </w:p>
    <w:p>
      <w:r>
        <w:t>FR: TI_GERICHTE 35.2019.58 du 23 juin 2015</w:t>
      </w:r>
    </w:p>
    <w:p>
      <w:r>
        <w:t>IT: TI_GERICHTE 35.2019.58 del 23 giugno 2015</w:t>
      </w:r>
    </w:p>
    <w:p>
      <w:pPr>
        <w:pStyle w:val="Heading2"/>
      </w:pPr>
      <w:r>
        <w:t>Regeste</w:t>
      </w:r>
    </w:p>
    <w:p>
      <w:r>
        <w:t>Corretta l'entità della rendita di invalidità attribuita all'assicurata</w:t>
      </w:r>
    </w:p>
    <w:p>
      <w:pPr>
        <w:pStyle w:val="Heading2"/>
      </w:pPr>
      <w:r>
        <w:t>Erwägungen</w:t>
      </w:r>
    </w:p>
    <w:p>
      <w:r>
        <w:rPr>
          <w:b/>
        </w:rPr>
        <w:t>E. 17</w:t>
      </w:r>
    </w:p>
    <w:p>
      <w:r>
        <w:t>giugno 2019, CO 1 ha postulato la reiezione del ricorso, con argomenti di cui si dirà, per quanto occorra, nei considerandi in diritto (doc. V). 1.7.   In data 1° luglio 2019 il patrocinatore dell’Istituto assicuratore ha trasmesso al TCA la decisione dell’Ufficio AI concernente l’interessata, a conferma della correttezza dei redditi utilizzati da CO 1 in sede di raffronto dei redditi (doc. IX + 1). 1.8.   Con scritto del 2 agosto 2019, l’avv. RA 1 ha informato il TCA di non avere particolari osservazioni da presentare, riconfermando interamente il contenuto del ricorso (doc. XIII). Tale scritto dell’assicurata è stato trasmesso all’assicuratore LAINF (doc. XIV), per conoscenza. in diritto 2.1.   Oggetto del contendere è la questione a sapere se l’assicuratore LAINF ha correttamente assegnato all’assicurata una rendita di invalidità del 14%, o se invece, come da ella preteso, la stessa abbia diritto ad una rendita di invalidità di entità superiore. Esula, per contro, dalla presente vertenza, in quanto incontestata, l’entità dell’IMI riconosciuta dall’assicuratore LAINF. 2.2.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Nella concreta evenienza, dalle carte processuali si evince che, per chiarire la questione della capacità/esigibilità lavorativa, l’assicuratore LAINF ha ordinato, come imposto dalla sentenza di rinvio di questo Tribunale STCA 32.2016.39 del 7 novembre 2016 (cfr. doc. A86), una perizia specialistica, affidata al dr. __________, spec. FMH in reumatologia, il quale si è pure avvalso della collaborazione del fisioterapista EFL __________. Nel referto peritale del 19 gennaio 2018 il dr. __________ ha posto le diagnosi di “1. sindrome da dolore cronico di tutto l’arto superiore sinistro e del cinto scapolare a sinistra: stato dopo frattura dell’olecrano a sinistra 12.2.2012, osteosintesi 14.2.2012, asportazione del materiale di osteosintesi con artrolisi, osteofitectomia, sinovectomia parziale e asportazione di una calcificazione del tendine distale del tricipite 26.1.2014; incipiente artrosi postraumatica con lieve deficit di flessione/estensione, non di pro-supinazione; 2. sclerosi sistemica a partecipazione cutanea limitata: diagnosi 2010; sindrome di Raynaud; non artralgie, non artriti; non manifestazioni cardiache (ecocardiografia normale, assenza di ipertensione polmonare); spirometria normale, DLCO leggermente ridotta; anticorpi antinucleari positivi, anticorpi anticentromeri; terapia con Iloprost mensile tutto l’anno; 3. Lieve periartropatia omero scapolare tendinotica bilaterale senza alterazioni strutturali rilevanti; 4. Stato dopo trattamento chirurgico di un mucocele sublinguale nel 2012; 5. Cisti aracnoidea cerebellare asintomatica nota dal 2009; recente intervento al sopracciglio destro” (doc. M83 pag. 2). Passando all’esame dell’esigibilità lavorativa e dei limiti funzionali, il dr. __________ ha rilevato che “clinicamente vi è una modica diminuzione della mobilità per la flessione e estensione ma non per la pro-supinazione. Ricordo che la pro-supinazione è il movimento più importante del gomito. Un lieve deficit di flessione e estesione non compromette in modo importante la maggior parte delle attività della vita privata o professionale”. Il perito ha osservato che dai test ergonomici è risultato che l’assicurata “è in grado di svolgere spesso attività leggere (5-10 kg) e talvolta attività mediamente pesanti (10-15 kg). Sollevamento massimale fino a 20 kg”, aggiungendo che “si tratta di prestazioni compatibili con il lavoro di assistente di cura, premesso che questo venga svolto in modo ottimale dal punto di vista ergonomico, se necessario con ausili meccanici (sollevatore) e con 2 assistenti per i pazienti maggiormente bisognosi (doc. M83 pag. 8). Dai test ergonomici non sono invece emersi problemi maggiori a carico del cinto scapolare o della colonna cervicale; anche la forza della mano (16 kg) è risultata solo leggermente sotto la norma (norma 18 kg). In conclusione, quindi, il perito ha considerato l’attività di assistente di cura esigibile durante tutto il giorno, a tempo pieno, così come lo svolgimento di attività leggere che possano comportare talvolta compiti mediamente pesanti (doc. M83 pag. 9). Il TCA non ha motivo per discostarsi da questa valutazione peritale, la quale, del resto, neppure è stata contestata in sede ricorsuale. Non occorre, quindi, dilungarsi oltre sull’argomento, posto che la controversia verte esclusivamente sugli aspetti economici. 2.6.   Si tratta ora di valutare le conseguenze economiche del danno alla salute infortunistico. Per quanto concerne il reddito da valido , l’amministrazione ha indicato che, senza il danno alla salute, la ricorrente, nel 2017, avrebbe realizzato lavorando a tempo pieno un guadagno annuo lordo pari a fr. 57'119 (cfr. doc. A109, pag. 2). Questo valore – che, come specificato dall’assicuratore LAINF in sede di decisione su opposizione (cfr. doc. A109), corrispondendo al salario versato al momento dell’infortunio è, quindi, più favorevole all’assicurata rispetto a quello comunicato dal datore di lavoro. Del resto, non è neppure stato contestato dall’insorgente.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di recente dal TF, segnatamente nella DTF 141 V 1 consid. 5. 2.8.   Nella presente fattispecie, l’Istituto convenuto ha quantificato in fr. 49’192 il reddito da invalido, facendo capo alla tabella TA1 2014, media totale, livello di qualifica 1, donne, aggiornato al 2017, applicando poi una deduzione sociale del 10% (cfr. doc. A108, pag. 2). A fronte delle contestazioni sollevate dal legale dell’interessata (il quale ha chiesto che venga tenuto conto del gap salariale e, inoltre, che la riduzione percentuale venga aumentata dal 10% al 15%), nella decisione su opposizione, l’assicuratore LAINF ha ribadito la correttezza del proprio calcolo, indicando che: " Sulla scorta della tabella TA1 delle RSS 2014, risulta che l’opponente, svolgendo un’attività semplice e ripetitiva, livello di competenza 1, potrebbe realizzare un reddito mensile ipotetico da invalida pari a CHF 4'300.00 (totale, donne, valore mediano, 40 ore/sett), che rapportato a 41.7h/sett e a 12 mesi, comporta un salario di CHF 53'793.00. Adeguando il reddito annuale di CHF 53'793 al rincaro nominale stabilito dall’Ufficio federale di statistica, nel 2017 l’assicurata avrebbe potuto conseguire un reddito di CHF 54'658.00. Anche questo importo non è veramente contestato dall’assicurata, che critica solo l’ammontare delle deduzioni sociali operate. Per quanto concerne le deduzioni sociali, l’assicuratore ha applicato una riduzione del 10% legata alla caricabilità ridotta, rispettivamente alla scarsa adattabilità dovuta alle limitazioni fisico-funzionali, oltre al percorso socio professionale e al salario ridotto che necessariamente ne consegue. Proprio su quest’ultimo punto si innesta la critica dell’opponente, che ritiene – a torto – che non si sia tenuto conto del fatto che il suo diploma sia un diploma paramedico ottenuto in patria, rispettivamente che essa abbia sempre lavorato presso il medesimo datore di lavoro e che è una lavoratrice frontaliera. Tutto ciò giustificherebbe una ulteriore riduzione del 5%. Contrariamente a quanto esposto dall’assicurata, l’assicuratore ritiene di avere adeguatamente tenuto conto anche di questi aspetti sotto la voce “percorso socio professionale” e di avere operato una riduzione corretta, pari al 10% indicata nella decisione. Ne deriva un calcolo del grado di invalidità corretto: dal confronto dei redditi da valido (CHF 57'119.00) e invalido (CHF 54'658.00 – 10% = CHF 49'192.00) risulta un grado di invalidità del 13.88%, arrotondato al 14%, che viene qui riconfermato. 2.6. Come evidenziato sopra, l’assicurata ritiene che vi sia un gap salariale che vada preso in considerazione, aumentando il salario da valido secondo il principio del parallelismo dei redditi (…) Per il salario medio nazionale, va tuttavia fatto riferimento alla tabella TA1 e non alla tabella TA 1b citata dall’assicurata (cfr. fra le altre DTF 142 V 178 consid. 2.5.7.) la quale indica un salario per la categoria 86-88 di CHF 4'636.00 e non di CHF 5'309.00. Se tale salario lo si rapporta al salario effettivo da valido (rapportandolo alle ore settimanali lavorate e all’indice, per dodici mensilità all’anno) si ottiene così un salario statistico, nel settore 86-88, di CHF 58'006.00, praticamente identico al salario effettivo che l’assicurata percepirebbe presso la Residenza Rivabella. In siffatte circostanze non si applicano dunque i principi invocati dall’assicurata, relativi al gap salariale. Rimangono per contro valide le deduzioni sociali esposte al punto che precede, che già rappresentano un correttivo nel senso auspicato dall’assicurata.” (Doc. A1). 2.9.   In sede ricorsuale, il patrocinatore dell’assicurata ha nuovamente contestato, da un lato, il mancato riconoscimento del parallelismo dei redditi per tenere conto del gap salariale e, dall’altro, l’insufficiente deduzione percentuale del 10% applicata al reddito da invalido, da innalzare a suo avviso al 15% visto che l’interessata non può più svolgere la propria attività (doc. I). Tali censure sono state nuovamente rigettate dall’amministrazione con la risposta di causa, fornendo le seguenti dettagliate motivazioni: " Nel caso concreto, dall’annuncio di sinistro (doc. A5) risulta che la signora RI 1, cittadina polacca e italiana, residente a __________, è stata assunta dalla Residenza __________ il 1.9.2007. Essa ha lavorato presso la casa per anziani sulla base di un permesso per confinanti (permesso G) con un grado di occupazione all’80%. Il 27 agosto 2010 essa ha conseguito in Polonia il diploma di assistente di cura, continuando a mantenere un contratto di lavoro presso lo stesso datore di lavoro, con lo stesso grado di occupazione e le stesse mansioni. Il rapporto di lavoro è terminato il 28.02.2018, dopo 11 anni di impiego. Le mansioni svolte dall’assicurata sono quelle dell’assistente di cura. Esse sono ben descritte nella valutazione della capacità funzionale, eseguita nel 2018 presso la Clinica __________. Da essa emerge che le attività affidate alla qui ricorrente comprendevano l’igiene del paziente, la distribuzione e assistenza pasti, il riordino dei letti e delle stanze e il ripristino del materiale di pronto consumo nelle stanze mediante giro con carrello (doc. M83, p. 12). Nel caso concreto dunque, se è ben vero che l’assicurata abbia svolto mansioni di assistenza alla cura del paziente, è altrettanto vero che essa ha svolto mansioni con compiti pratici, ma senza che per tali attività siano richieste competenze professionali specifiche o abilità e conoscenze speciali. La funzione non richiede neppure un grado di responsabilità particolarmente elevato, né contempla compiti di gestione. Si tratta dunque invero di una funzione semplice, di tipo fisico e manuale, tipica del livello di competenza 1 (cfr. ad esempio sentenza TCA 35.2018.114 del 18.03.2019). Tale funzione di assistente di cura viene attribuita dal ROCA alla classe salariale 18, laddove le classi vanno dalla classe 10 alla classe 39, per le mansioni meglio retribuite. Il bagaglio formativo e professionale della qui ricorrente non è inoltre tale da poterlo considerare “ben oltre a quello cui normalmente dispongono le persone che svolgono attività lavorative comportanti soltanto mansioni semplici di tipo fisico e manuale” (sentenza TCA 32.2012.207 del 6.5.2013). Essa è stata assunta per svolgere mansioni di assistenza di cura, acquisendo il relativo diploma tre anni dopo. Come la giurisprudenza ha avuto modo di sottolineare, ormai non vi è più professione che non richieda un diploma di formazione, motivo per cui non è il conseguimento del solo diploma di assistente di cura a dare una qualifica particolare alla dipendente, che ha infatti continuato a svolgere le stesse mansioni per le quali era stata assunta nel 2007. La qui resistente ritiene dunque di aver applicato il livello di competenza e di conseguenza lo stipendio corretto; stipendio che non giustifica l’applicazione del principio del parallelismo dei redditi, stante il gap salariale praticamente inesistente. c. Anche volendo considerare che un tale gap ci sia, l’assicuratore è dell’avviso che il calcolo del parallelismo non vada comunque effettuato. Per giurisprudenza il principio si applica infatti se il salario corrisponde o è superiore al salario minimo secondo un contratto collettivo di lavoro (sentenza TF 8C_759/2017 del 8.5.2018, consid. 3.2.2.). Allo stesso modo esso non si applica se la persona assicurata si è accontentata del salario (sentenza TF 8C_250/2017 del 28.9.2017, consid. 5.1.2.). d. Nel caso concreto l’assicuratore è dell’avviso che se il salario fosse inferiore al livello salariale svizzero, si dovrebbe perlomeno considerare che l’assicurata si è accontentata dello stipendio pagato dalla Residenza __________. L’assicurata, cittadina polacca e italiana, residente in Italia, è stata assunta dalla casa per anziani nel 2007, a 27 anni, con un grado di occupazione all’80%. Essa ha continuato a lavorare con tale grado di occupazione anche dopo aver conseguito in Polonia il diploma di assistente di cura. È evidente che l’assicurata si è accontentata – in tutti questi anni – del reddito proveniente dalla sua attività lavorativa, per il quale oggi essa pretende l’applicazione del parallelismo dei redditi. A mente dell’assicurazione, in considerazione del fatto che l’assicurata si è sempre accontentata di tale reddito – senza mettere in atto sforzi particolari per cambiare posto di lavoro o funzione o, ancora, grado di occupazione, volti a conseguire un salario superiore – fa sì che il parallelismo non si applichi. e. Per verificare se, oltre a quanto sopra, il salario corrisponde al salario di un contratto collettivo, si chiede in questa sede: il richiamo dell’incarto AI completo; l’edizione da parte del datore di lavoro Residenza __________ del contratto di assunzione e dell’informazione a sapere se la Residenza sia sottoposta a contratto collettivo, rispettivamente a quanto ammonta il salario minimo previsto dal CCL per la funzione di assistente di cura. f. La parte resistente è dunque dell’avviso che il principio del parallelismo dei redditi non si giustifichi e che di conseguenza essa ha considerato un salario da valido corretto.” (Doc. V) In data 1° luglio 2019 il patrocinatore dell’Istituto assicuratore, a conferma della correttezza dei redditi da valido e da invalido utilizzati nella decisione su opposizione impugnata, ha trasmesso al TCA la decisione del 19 giugno 2019 con la quale l’Ufficio AI per gli assicurati residenti all’estero ha attribuito all’interessata una mezza rendita d’invalidità dal 1° novembre 2014 al 30 aprile 2018, poi soppressa in mancanza di un sufficiente grado di invalidità (doc. IX/1). 2.10.   Chiamato a pronunciarsi in merito al calcolo operato dall’amministrazione, il TCA può fare proprie le argomentazioni con le quali, in maniera motivata e convincente, l’amministrazione ha diffusamente spiegato le ragioni per le quali, nel caso dell’interessata, non vada applicato il parallelismo dei redditi (cfr. consid. 2.8. e 2.9.). Come correttamente indicato dall’assicuratore infortuni, infatti, l’utilizzo del livello di qualifica 1 appare rispettoso della giurisprudenza federale, la quale ha evidenziato come oggigiorno in praticamente ogni settore viene richiesto un diploma o delle formazioni e perfezionamenti (cfr. STF 9C_993/2010 del 2 dicembre 2011 con la quale l’Alta Corte ha confermato il livello di qualifica 4, anziché 3 come richiesto dal ricorrente, nel caso di un assicurato in possesso del diploma di saldatore e di numerosi anni di esperienza; vedi anche 9C_837/2009 del 23 giugno 2010 consid. 3.4 pubbl. in RtiD I-2011 pag. 245; I 734/06 dell’8 ottobre 2007 consid. 5.2; I 19/05 del 29 giugno 2005). Inoltre e soprattutto, come pure pertinentemente osservato dall’amministrazione, anche volendo, per pura ipotesi di lavoro, far capo nel caso di specie al livello di qualifica superiore e considerare l’esistenza di un gap salariale, non sarebbe comunque possibile attuare un parallelismo dei redditi, dovendo concludere che l’interessata, la quale per 11 anni ha lavorato presso lo stesso datore di lavoro, si sia accontentata di un salario modesto. Non risulta, difatti, che durante questo lungo periodo ella abbia svolto ricerche di lavoro per migliorare la propria situazione finanziaria o abbia messo in atto sforzi particolari per cambiare attività ed ottenere in questo modo un salario superiore (cfr. DTF 135 V 297; DTF 135 V 58; DTF 134 V 322; STF 9C_966/2010; STF 9C_488/2008; I 644/06 del 15 febbraio 2007; I 64/03 del 18 novembre 2003 e I 1/04 del 17 febbraio 2005). Tale soluzione appare tanto più necessaria, se si considera che ella ha conseguito il diploma in Polonia tre anni dopo l’entrata in servizio (avvenuta nel 2007), continuando anche dopo a svolgere le medesime mansioni, con lo stesso stipendio, presso lo stesso datore di lavoro (cfr. doc. V). Per tutte queste ragioni, dunque, il TCA non reputa che si debba attuare, nel caso presente, il parallelismo dei redditi, come stabilito dall’assicuratore LAINF. Altrettanto condivisibile il ragionamento dell’amministrazione volto a dimostrare l’adeguatezza della riduzione percentuale del 10% applicata al reddito da invalido, la quale permette già di tenere conto delle particolarità del caso di specie (nello stesso senso vedi anche STF 9C_633/2017 del 29 dicembre 2017). Stante quanto sopra esposto, il reddito da invalido, partendo dai dati statistici pertinentemente utilizzati dall’Istituto assicuratore, cui va applicata una decurtazione del 10%, ammonta dunque a fr. 49’192 . Ora, confrontando i fr. 49'192 al reddito che l’insorgente avrebbe potuto conseguire senza il danno alla salute, e cioè fr. 57’119, ne risulta una perdita di guadagno a dipendenza dei postumi residuali dell’infortunio del 13.88%, arrotondato al 14%, come correttamente calcolato dall’amministrazione. In queste condizioni, la decisione su opposizione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