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35.2019.28 vom 21. Oktober 2019</w:t>
      </w:r>
    </w:p>
    <w:p>
      <w:r>
        <w:t>TI Tribunale d'appello, 2019-10-21, IT</w:t>
      </w:r>
    </w:p>
    <w:p>
      <w:r>
        <w:rPr>
          <w:b/>
        </w:rPr>
        <w:t xml:space="preserve">Quelle: </w:t>
      </w:r>
      <w:r>
        <w:t>https://mcp.opencaselaw.ch/entscheid/ti_gerichte_35.2019.28</w:t>
      </w:r>
    </w:p>
    <w:p>
      <w:r>
        <w:t>FR: TI_GERICHTE 35.2019.28 du 21 octobre 2019</w:t>
      </w:r>
    </w:p>
    <w:p>
      <w:r>
        <w:t>IT: TI_GERICHTE 35.2019.28 del 21 ottobre 2019</w:t>
      </w:r>
    </w:p>
    <w:p>
      <w:pPr>
        <w:pStyle w:val="Heading2"/>
      </w:pPr>
      <w:r>
        <w:t>Regeste</w:t>
      </w:r>
    </w:p>
    <w:p>
      <w:r>
        <w:t>Determinazione entità della rendita d'invalidità e del guadagno assicurato su cui calcolare rendita e IMI</w:t>
      </w:r>
    </w:p>
    <w:p>
      <w:pPr>
        <w:pStyle w:val="Heading2"/>
      </w:pPr>
      <w:r>
        <w:t>Erwägungen</w:t>
      </w:r>
    </w:p>
    <w:p>
      <w:r>
        <w:rPr>
          <w:b/>
        </w:rPr>
        <w:t>E. 3</w:t>
      </w:r>
    </w:p>
    <w:p>
      <w:r>
        <w:t>permette, peraltro, al Consiglio federale di emanare disposizioni particolari.</w:t>
      </w:r>
    </w:p>
    <w:p>
      <w:r>
        <w:rPr>
          <w:b/>
        </w:rPr>
        <w:t>E. 16</w:t>
      </w:r>
    </w:p>
    <w:p>
      <w:r>
        <w:t>anni, una incipiente coxartrosi a sinistra con stato dopo probabile lussazione congenita e una sindrome cervicospondilogena cronica con osteocondrosi Modic I C5-C6 senza neurocompressione, come pure – diagnosi senza influenza sulla capacità lavorativa – una possibile residua sindrome irritativa del tunnel carpale bilaterale senza deficit oggettivabili, una sospetta situazione di stretto toracico a destra e un’obesità. Dal relativo rapporto, datato 22 settembre 2016, risulta che soltanto le patologie refertate in ambito reumatologico hanno un’incidenza sulla capacità/esigibilità lavorativa dell’assicurato (doc. 267, p. 28: “Conseguenze sull’attuale capacità lavorativa derivano dalle patologie descritte in ambito reumatologico, mentre invece, come descritto nei capitoli precedenti, da punto di vista neurologico, angiologico e psichiatrico vi è una capacità lavorativa piena nell’attività abituale come pure in un’attività adatta allo stato di salute.”). Trattandosi dell’aspetto reumatologico, nella sua perizia (parziale) del 6 luglio 2016, il dott. __________ ha rilevato che, dal suo punto di vista, l’insorgente “presenta una serie di patologie posttraumatiche e/o degenerative che limitano le attività più pesanti.”. A suo avviso, “si tratta di problemi minori ma che incidono sulla capacità lavorativa in attività particolari. Questi problemi limitano il paziente soprattutto in attività molto pesanti e pesanti e limitano il paziente in modo importante per tutti i lavori con l’arto superiore sinistro al di sopra dell’altezza delle clavicole (doc. 267, p. 41). Interrogato a proposito dell’esigibilità che l’assicurato eserciti un’attività alternativa a quella abituale, il reumatologo ha dichiarato che quest’ultimo “… è in grado di svolgere un lavoro leggero e adatto a tempo pieno e con pieno rendimento , un’attività manuale con alcune limitazioni descritte in precedenza a tempo pieno ma con un rendimento che può essere ridotto sino al 30% mentre attività molto pesanti a pesanti non sono più esigibili.” (doc. 267, p. 43 – il corsivo è del redattore). Con complemento peritale dell’11 ottobre 2016, dopo aver interpellato il dott. __________, i periti __________ dottori __________ e __________ hanno precisato che il reumatologo condivide “… l’apprezzamento di una capacità lavorativa residua come da valutazione CO 1 fino all’insorgenza della problematica a livello dell’anca ds. ed è d’accordo di ritenere la capacità lavorativa residua (rispettivamente le limitazioni funzionali/risorse fisiche da lui descritte nel consulto) come descritta nella perizia __________ del 22.9.2016 a partire dalla visita dell’1.6.2015 presso il Prof. Dr. med. __________, responsabile chirurgia dell’anca presso la Clinica __________ di __________.” (doc. 267 – il corsivo è del redattore). In proposito, il TCA rileva che già nell’ambito della precedente procedura giudiziaria (inc. 35.2015.45), il ricorrente aveva esplicitamente ammesso che l’affezione diagnosticata dal Prof. dott. __________ in occasione del consulto del 1° giugno 2015 – una coxartrosi secondaria a destra – non era imputabile all’evento infortunistico assicurato (doc. 231, p. 2: “In merito al rapporto 4 giugno 2015 del Dr. __________ non bisogna essere medico per capire che la diagnosi non ha nulla da fare con l’infortunio assicurativo del 20 aprile 2005 .” – il corsivo è del redattore). In ossequio a quanto questo Tribunale ha disposto con la nota sentenza di rinvio (doc. 257, p. 13), l’amministrazione ha quindi interpellato il proprio servizio medico fiduciario al fine di stabilire se le condizioni di salute infortunistiche di RI 1 fossero peggiorate rispetto alla situazione constatata a suo tempo dal dott. __________ e, nell’affermativa, di valutare di nuovo l’esigibilità lavorativa. Il dott. __________, spec. FMH in chirurgia, ha dapprima elaborato un apprezzamento medico (datato 31 gennaio 2007) senza visitare personalmente l’assicurato. Dopo aver riassunto parte della pregressa documentazione medica, egli ha rilevato che nella perizia __________ “… i lavori amministrativi sono esigibili a tempo pieno e con pieno rendimento, non sembra quindi sia subentrato un peggioramento delle condizioni di salute infortunistiche …” (doc. 270, p. 8). Successivamente, il 9 luglio 2018, ha avuto luogo una visita __________ di controllo, a cura dello stesso dott. __________. Dal relativo referto risulta, in primo luogo, che alla visita era presente pure il funzionario __________ a fungere da interprete, “ il tutto con il consenso dell’assicurato .” (doc. 298, p. 9). D’altro canto, il medico __________ ha rilevato che, a quel momento, la situazione della spalla di sinistra era “… sostanzialmente stabile, l’unico dato emergente (divergente, n.d.r.) rispetto alle valutazioni precedenti e alla precedente visita __________ del dr. med. __________ e anche rispetto alla valutazione sugli atti effettuata dal sottoscritto, vi è effettivamente una dolorabilità maggiore alla palpazione della sterno-claveare e della clavicola sinistra e che non era presente all’atto della precedente visita __________ del 2011. Dal punto di vista ortopedico tuttavia l’articolazione è stabile e francamente non riteneva opportuno alcun tipo di trattamento aggiuntivo. Viceversa anche se è un dato extra-infortunistico la patologia a livello dell’anca destra è indubbiamente limitante e certamente sarà da pensare a un intervento di sostituzione protesica neanche distante nel tempo.”. Questa quindi la conclusione alla quale egli è pervenuto: " (...) Per quanto riguarda l’esigibilità lavorativa sostanzialmente rimane la stessa e questo è un dato che è stato confermato anche nella perizia __________. L’articolarità è decisamente buona, e non si vedono peggioramenti tali da consentire una rivalutazione dell’esigibilità lavorativa a suo tempo espressa.” (doc. 298, p. 9) 2.2.4.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2.2.5. Nella concreta evenienza, attentamente vagliato l’insieme della documentazione medica agli atti, questa Corte ritiene che il parere espresso dal dott. __________, secondo il quale, nonostante il danno alla salute infortunistico interessante l’arto superiore sinistro, il ricorrente sarebbe in grado di svolgere, a tempo pieno e con un rendimento completo, un’attività alternativa a quella abituale, così come già aveva stabilito a suo tempo il dott. __________, possa validamente costituire da base al giudizio che è ora chiamato a rendere, senza che si riveli necessario procedere a degli ulteriori atti istruttori. Del resto, questo Tribunale sottolinea che l’assicurato non ha prodotto alcun referto specialistico suscettibile di generare dei dubbi, nemmeno lievi, circa la correttezza della valutazione enunciata dal medico __________. Al contrario - aspetto che l’insorgente ha peraltro completamente omesso di citare (cfr. doc. I) -, anche i periti __________ hanno ritenuto che l’insorgente presenta una piena capacità lavorativa, sia dal profilo del tempo di lavoro che da quello del rendimento, in attività sostitutive adeguate ( supra , consid. 2.2.3. ). Anzi, con il loro complemento peritale, questi medici hanno esplicitamente dichiarato di condividere l’apprezzamento dell’esigibilità lavorativa espresso dai medici dell’CO 1, e ciò sino al momento in cui è stata diagnosticata la patologia – di eziologia extra-infortunistica – all’anca destra ( giugno 2015) (cfr. doc. 267, p. 3). Neppure le obiezioni sollevate con il ricorso dal rappresentante legale appaiono atte a giustificare una diversa soluzione. In primo luogo, anche se la visita di controllo del 9 luglio 2018 fosse effettivamente durata “pochi minuti” (doc. I, p. 4; si veda comunque lo scritto di convocazione alla medesima, doc. 295, p. 1: “Ora: 10:00 ( riservi circa 2 ore )” – il corsivo è del redattore), di per sé tale circostanza non sminuirebbe il valore probatorio riconosciuto al referto del dott. __________. In effetti, il Tribunale federale ha già avuto modo di chiarire che il valore probatorio di un rapporto medico (rispettivamente di una perizia) non dipende, di massima, dalla durata della visita, quanto piuttosto dalla sua completezza e concludenza (cfr. STF 9C_1013/2008 del 23 dicembre 2009, I 1094/06 del 14 novembre 2007, in RSAS 2008 p. 393 consid. 3.1.1 e riferimenti ivi menzionati). In secondo luogo, a prescindere dal fatto che __________ è intervenuto con l’accordo dell’insorgente , l’avv. RA 1 non spiega per quale ragione il fungere da interprete tra l’assicurato e il medico __________ avrebbe richiesto delle conoscenze professionali della lingua tedesca, in un caso in cui la raccolta dei dati anamnestici era peraltro facilitata dall’abbondante pregressa documentazione medica a disposizione del dott. __________. In terzo luogo, il TCA non ha alcun valido motivo per ritenere che la circostanza che il medico fiduciario sia specializzato in chirurgia, piuttosto che in ortopedia, abbia potuto in qualche modo incidere sulla qualità del suo apprezzamento. In questo senso, va rilevato che il dott. __________ svolge ormai da anni la funzione di medico __________ preposto, segnatamente, proprio alla valutazione della capacità/esigibilità lavorativa degli assicurati. D’altro canto, è utile ricordare che le sue conclusioni sono identiche a quelle contenute nel referto del __________. Per quanto concerne il rimprovero mosso al medico fiduciario per non aver compiuto più ampi accertamenti, in particolare ulteriori esami radiologici, questo Tribunale constata che gli atti all’inserto (gli stessi di cui disponeva il medico __________) sono lì a testimoniare che le condizioni di salute dell’assicurato sono state indagate, anche strumentalmente, da ogni possibile profilo, non da ultimo ancora a margine della perizia pluridisciplinare del __________. Inoltre, in sede di risposta di causa, l’assicuratore resistente ha precisato che, grazie al sistema di archiviazione e comunicazione d’immagini PACS, il dott. __________ ha potuto prendere visione della medesima documentazione radiologica di cui disponevano gli esperti del __________ (cfr., al riguardo, il doc. 292, p. 1). Infine, il fatto che il fiduciario dell’CO 1 abbia aumentato al 10% il tasso di menomazione dell’integrità definito dal dott. __________ in occasione della visita __________ del 4 dicembre 2006 (7.5%), e ciò in ragione dell’intervento di un “leggero peggioramento della artrosi sterno-claveare” (cfr. doc. 297, p. 1), non permette di concludere automaticamente a una modifica dell’esigibilità lavorativa. In simili condizioni, il TCA ritiene accertato con un sufficiente grado di verosimiglianza che, nonostante il danno infortunistico, RI 1 sarebbe ancora in grado di svolgere, a tempo pieno e con un rendimento completo, un’attività lavorativa adeguata. Questa Corte può pertanto esimersi dal disporre ulteriori misure istruttorie,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2.2.6. Per quanto riguarda il calcolo del grado dell’invalidità, va preliminarmente evidenziato che, secondo la giurisprudenza, per il raffronto dei redditi fa stato il momento dell’inizio dell’eventuale diritto alla rendita (cfr. DTF 129 V 222; cfr., pure, STF 8C_61/2018 del 23 marzo 2018 consid. 6.2.; STF 9C_734/2010 del 18 maggio 2011 consid. 4.4.; STFA I 600/01 del 26 giugno 2003 consid. 3.1; STFA I 670/01 del 3 febbraio 2003, pubblicata in SVR 2002 IV Nr. 24; STFA I 761/01 del 18 ottobre 2002 consid. 3.1, pubblicata in SVR 2003 IV Nr. 11 e STFA I 26/02 del 9 agosto 2002 consid. 3.1; cfr., inoltre, STFA I 475/01 del 13 giugno 2003 consid. 4.2,). Nel caso di specie sono quindi determinanti i dati del 2009 (data d’inizio del diritto alla rendita: 1° luglio 2009 ). Per quanto concerne il reddito da valido , secondo l’CO 1, l'insorgente avrebbe guadagnato, nel 2009, qualora non fosse rimasto vittima dell’infortunio assicurato, un importo annuo di fr. 82'615 (cfr. doc. 164, p. 1). Questo dato - riguardo al quale con il ricorso non è stata sollevata alcuna specifica obiezione -, può essere fatto proprio dal TCA. 2.2.7.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8/7 del</w:t>
      </w:r>
    </w:p>
    <w:p>
      <w:r>
        <w:rPr>
          <w:b/>
        </w:rPr>
        <w:t>E. 20</w:t>
      </w:r>
    </w:p>
    <w:p>
      <w:r>
        <w:t>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e avrebbe applicato unicamente i dati statistici RSS (cfr. STF 8C_368/2018 del 28 marzo 2019 consid. 4.3. ). 2.2.8.   Nella presente fattispecie, l’istituto resistente ha determinato il reddito da invalido facendo capo ai salari statistici contenuti nella tabella RSS TA1 2008, media totale, livello di competenze 4, uomini, aggiornati al 2009, applicando infine una deduzione sociale ex DTF 126 V 80 del 10% (cfr. doc. 164, p. 2). Utilizzando i dati forniti dalla tabella RSS 2008 TA 1 , l’assicurato, svolgendo nel 2008 una professione che presuppone qualifiche inferiori (livello di qualifica 4) nel settore privato svizzero (a proposito della rilevanza delle condizioni salariali nel settore privato, cfr. RAMI 2001 U 439, p. 347ss. e SVR 2002 UV 15, p. 47ss.), avrebbe potuto realizzare, in media, un salario mensile lordo pari a fr. 4'806. Riportando questo dato su 41.6 ore , esso ammonta a fr. 4'998.24 mensili oppure a fr. 59'978.88 per l'intero anno (fr. 4'998.24 x 12). Dopo adeguamento all'indice dei salari nominali, si ottiene, per il 2009, un reddito annuo di fr. 61'235.58 ( 59'978.88 x 107.2 / 105.0). L’insorgente giustamente non pretende che questo reddito andrebbe ridotto a titolo di gap salariale , ciò che l’amministrazione ha del resto negato in applicazione della giurisprudenza - più favorevole all’assicurato - in vigore fino al cambiamento inaugurato con la STF 8C_141/2016 e 8C_142/2016 del 17 maggio 2016 consid. 5.2.2.3 (cfr. doc. 164, p. 2). 2.2.9.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l’assicuratore convenuto sostiene che la deduzione massima sul reddito statistico da invalido sarebbe del 10% (doc. V, p. 7). L’insorgente, da parte sua, pretende invece l’applicazione di una deduzione del 20% almeno, “visto il lavoro pesante effettuato” (doc. I, p. 7). Considerato il riserbo di cui deve dare prova il giudice delle assicurazioni sociali nel sostituire il proprio apprezzamento a quello dell’amministrazione (cfr. DTF 137 V 71, 132 V 393 consid. 3.3), questo Tribunale ritiene che, proponendo l’applicazione di una decurtazione del 10%, l’CO 1 non abbia abusato del proprio potere di apprezzamento. Mediante la riduzione in questione, l’istituto convenuto ha infatti debitamente tenuto conto degli effetti legati alla menomazione infortunistica (in questo senso, cfr., tra le tante, STF 8C_201/2019 del 14 agosto 2019; STF 9C_373/2019 del 18 luglio 2019; STF 9C_787/2018; 9C_795/2018 del 19 luglio 2019; STF 8C_203/2019 del 18 luglio 2019; STF 8C_72/2019 dell’11 giugno 2019; STCA 35.2019.6 del 26 agosto 2019 consid. 2.3.8; STCA 35.2018.123 del 27 marzo 2019, consid. 2.6.2.; STCA 35.2018.114 del 18 marzo 2019, consid. 2.6.3.; STFA 35.2019.33 del 19 agosto 2019 consid. 2.4.7). Nessuno dei restanti fattori elencati nella DTF 126 V 80 giustifica una più ampia riduzione percentuale del reddito statistico da invalido. Il reddito da invalido, tenuto conto di una decurtazione del 10%, ammonta dunque a fr. 55'112.02 . Ora, confrontando i fr. 55'112.02 al reddito che l’insorgente avrebbe potuto conseguire senza il danno alla salute, e cioè fr. 82'615, risulta che egli subisce una perdita di guadagno del 33.29%, arrotondata al 33% , a dipendenza dei postumi residuali dell’infortunio assicurato. In queste condizioni, la decisione su opposizione impugnata deve essere confermata, perlomeno nella misura in cui all’assicurato è stata assegnata una rendita d’invalidità del 33%. 2.3. Entità del guadagno assicurato su cui è calcolata la rendita d’invalidità. 2.3.1.   A norma dell’art. 15 cpv. 1 LAINF, le indennità giornaliere e le rendite sono calcolate in base al guadagno assicurato . Il cpv. 2 recita, da parte sua, che per il calcolo delle indennità giornaliere è considerato guadagno assicurato l’ultimo salario riscosso prima dell’infortunio; per il calcolo delle rendite, quello riscosso durante l’anno precedente l’infortunio. Il medesimo art. 15 al cpv. 3 permette, peraltro, al Consiglio federale di emanare disposizioni particolari.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(cfr. Ghélew, Ramelet, Ritter, Commentaire de la loi sur l'assurance-accidents (LAA), Losanna 1992, p. 83 e giurisprudenza ivi menzionata). Di regola, è considerato guadagno assicurato il salario determinante ai sensi degli artt. 5 cpv. 2 LAVS e 6 ss. OAVS (cfr. art. 22 cpv. 2 OAINF). L'art. 22 cpv. 4 OAINF, nella versione in vigore sino al 31 dicembre 2016 qui applicabile (l’infortunio è in effetti accaduto antecedentemente all’entrata in vigore della modifica – cfr. cpv. 1 delle disposizioni transitorie della modifica del 25 settembre 2015, prevede, nuovamente, che le rendite sono calcolate in base al salario pagato all'assicurato da uno o più datori di lavoro nel corso dell'anno precedente l'infortunio , inclusi gli elementi del salario non ancora versati che gli sono dovuti. Se il rapporto non è durato un anno intero, il salario ottenuto durante questo periodo è convertito in pieno salario annuo. Nel caso di un’attività temporanea la conversione è limitata alla durata prevista. Derogando al principio posto dagli artt. 15 cpv. 2 in fine LAINF e 22 OAINF, l'art. 24 OAINF definisce il salario determinante in alcuni casi speciali (fattispecie che in concreto non entrano in considerazione). 2.3.2.   Nel caso di specie, dal doc. 164 denominato “ Valutazione delle prestazioni d’invalidità ” si evince quanto segue a proposito delle modalità secondo le quali l’CO 1 ha determinato il guadagno assicurato: " (…) L’interessato è dipendente della propria azienda dal 01.04.2005 e l’infortunio è capitato il 20.04.2005. In precedenza era indipendente, quindi non percepiva salari assicurati LAINF. Il salario annunciato al momento dell’infortunio ammontava a CHF 6'000.00 x 13, inoltre aveva diritto a due assegni per figli di CHF 183 l’uno. Il guadagno annuo va pertanto convertito all’anno intero, ai sensi dell’art. 22.4 OAINF: CHF 6'000 x 13 + CHF 183 x 2 x 12 m = CHF 82'392.00.” (doc. 164, p. 1) Con la propria impugnativa, il ricorrente fa valere che, nel determinare il guadagno assicurato, anziché convertire in salario annuo il salario annunciato al momento del sinistro assicurato ai sensi dell’art. 22 cpv. 4 seconda frase OAINF, l’amministrazione avrebbe dovuto prendere in considerazione anche il reddito da lui realizzato quale indipendente nel corso dell’anno precedente l’infortunio (dunque durante il periodo 20 aprile 2004 - 31 marzo 2005 – cfr. doc. VII, p. 2). Questo Tribunale non può aderire alla tesi difesa dall’assicurato. Il fatto che RI 1 sia divenuto dipendente dell’omonima Sagl (e, pertanto, assicurato d’obbligo contro gli infortuni presso l’CO 1) soltanto a far tempo dal 1° aprile 2005, risulta in effetti dall’annuncio d’infortunio del 21 aprile 2005 (doc. 1, p. 1) ed è del resto stato da lui esplicitamente riconosciuto in sede di replica (cfr. doc. VII, p. 2). In precedenza, egli svolgeva un’attività lucrativa indipendente ed era privatamente assicurato contro gli infortuni presso la __________ (assicurazione retta dalla LCA – cfr. doc. 49, p. 4). In una sentenza U 421/05 del 25 ottobre 2006 consid. 2.3, a proposito di rapporti di lavoro che sono durati meno di un anno, il TFA (dal 1° gennaio 2007: TF) ha rilevato che in tal caso si presume che la persona assicurata avrebbe lavorato alle medesime condizioni durante tutto l’anno, cosicché si deve procedere alla conversione su 12 mesi giusta l’art. 22 cpv. 4 seconda frase OAINF . L’Alta Corte ha precisato che ciò è il caso, ad esempio, trattandosi del passaggio da un’attività lucrativa indipendente a un’attività dipendente (“ Wechsel von selbstständiger zu unselbstständiger Erwerbstätigkeit ”). In queste condizioni, il TCA approva dunque le modalità con le quali l’istituto resistente ha stabilito il guadagno assicurato di fr. 82'392. 2.4. Entità dell’IMI . 2.4.1.   Secondo l'art. 24 cpv. 1 LAINF l'assicurato ha diritto a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mentale o psichica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24segg. LAINF è, dunque, soltanto parziale: gli aspetti soggettivi del danno (segnatamente il pretium doloris e il pregiudizio estetico) ne sono esclusi (cfr. Ghélew, Ramelet, Ritter, op. cit., pag.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pag. 43; DTF 124 V 32; DTF 113 V 219 consid. 2a; RAMI 1988 U 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pag. 221ss.). Tuttavia, nella misura in cui esprimono unicamente valori indicativi, miranti a garantire la parità di trattamento di tutti gli assicurati, esse sono compatibili con l'annesso 3 all'OAINF (RAMI 1987 U 21, p. 329; DTF 113 V 219, consid. 2b; DTF 116 V 157, consid. 3a). 2.4.5.   Nella concreta evenienza, l’CO 1 ha assegnato al ricorrente un’IMI del 10%, fondandosi sul parere del dott. __________ (doc. 300, p. 4). Nel referto del 10 luglio 2018, il medico __________ appena citato ha infatti valutato nei seguenti termini l’entità della menomazione dell’integrità di cui è portatore l’assicurato: " (…). 1. Reperti Stato dopo esito di frattura lussazione clavicola sinistra con residui disturbi in stato di lussazione irriducibile della sterno-claveare. 2. Valutazione del danno all’integrità Valutazione lorda del 10%. Valutazione pregressa del 04.12.2006 7.5%, valutazione netta 2.5%. 3. Motivazione Rispetto alla precedente valutazione secondo la tabella 5.2 vi è un leggero peggioramento della artrosi sterno-claveare che, secondo un criterio di analogia, visto che l’artrosi acromion-claveare è valutata in forma grave tra il 5 e il 10%, si ritiene che un aggravamento del 2.5% sia giustificato. Pertanto la valutazione complessiva è 7.5% pregressa, più 2.5%, uguale a 10%.” (doc. 297, p. 1) Chiamato ora a pronunciarsi su una questione di natura squisitamente medica, il TCA non ha validi motivi per discostarsi dall’apprezzamento dell’IMI espresso dal medico __________. Da una parte, non può essere ignorato che, refertato un leggero peggioramento dell’artrosi sterno-clavicolare rispetto alla precedente valutazione del collega dott. __________, il dott. __________ ha riconosciuto, mediante un confronto analogico, il valore massimo previsto dalla tabella n. 5.2 per un’artrosi acromion-claveare grave (la forchetta va da un minimo del 5 a un massimo del 10%). Dall’altra, il ricorrente ha sì chiesto che gli venga assegnata un’indennità superiore al 10%, senza tuttavia supportare tale sua pretesa con documentazione medica specialistica. Circa il rimprovero mosso al fiduciario di aver omesso di procedere a ulteriori accertamenti, segnatamente a ulteriori esami radiologici, si è già detto al considerando 2.2.5. del presente giudizio. La decisione su opposizione impugnata deve quindi essere confermata anche nella misura in cui l’insorgente è stato posto al beneficio di un’IMI del 10%. 2.5.   Con il ricorso, il rappresentante dell’assicurato ha chiesto al TCA di “… indire un’udienza pubblica per un dibattimento tra le parti (art. 17 Lptca), durante il quale il ricorrente potrà debitamente essere interrogato dal giudice competente”, e ciò con particolare riguardo al ruolo giocato dal funzionario __________ durante la visita __________ di controllo del 9 luglio 2018 (doc. I, p. 4 s.). Secondo l'art. 6 CEDU ogni persona ha diritto ad un'equa e pubblica udienza entro un termine ragionevole, davanti a un tribunale indipendente e imparziale costituito per legge, alfine della determinazione sia dei suoi diritti e dei suoi doveri di carattere civile, sia della fondatezza di ogni accusa penale che gli venga rivolta. Al riguardo, è utile precisare che, secondo il Tribunale federale, l’art. 6 CEDU non garantisce il diritto all’audizione dei testimoni proposti dall’assicurato e nemmeno quello all’interrogatorio delle parti (cfr., in questo senso, STF 8C_307/2013 del 6 marzo 2014 consid. 2.2, 8C_743/2011 del 20 dicembre 2011 consid. 2.3.1 e SVR 2010 UV Nr. 3 consid. 2). In concreto, il patrocinatore di RI 1 ha di fatto formulato una domanda di assunzione di prove (interrogatorio di parte), ciò che va oltre la garanzia del pubblico dibattimento definiti dalla giurisprudenza federale, ragione per la quale il TCA è legittimato a rinunciarvi (cfr. consid. 2.2.5. in fine; in questo senso, si veda la STF 8C_63/2019 e 8C_65/2019 dell’11 giugno 2019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