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 vom 29. Mai 2019</w:t>
      </w:r>
    </w:p>
    <w:p>
      <w:r>
        <w:t>TI Tribunale d'appello, 2019-05-29, IT</w:t>
      </w:r>
    </w:p>
    <w:p>
      <w:r>
        <w:rPr>
          <w:b/>
        </w:rPr>
        <w:t xml:space="preserve">Quelle: </w:t>
      </w:r>
      <w:r>
        <w:t>https://mcp.opencaselaw.ch/entscheid/ti_gerichte_35.2019.2</w:t>
      </w:r>
    </w:p>
    <w:p>
      <w:r>
        <w:t>FR: TI_GERICHTE 35.2019.2 du 29 mai 2019</w:t>
      </w:r>
    </w:p>
    <w:p>
      <w:r>
        <w:t>IT: TI_GERICHTE 35.2019.2 del 29 maggio 2019</w:t>
      </w:r>
    </w:p>
    <w:p>
      <w:pPr>
        <w:pStyle w:val="Heading2"/>
      </w:pPr>
      <w:r>
        <w:t>Erwägungen</w:t>
      </w:r>
    </w:p>
    <w:p>
      <w:r>
        <w:rPr>
          <w:b/>
        </w:rPr>
        <w:t>E. 19</w:t>
      </w:r>
    </w:p>
    <w:p>
      <w:r>
        <w:t>cpv. 1 LAINF, è tenuto a chiudere un caso (con interruzione delle prestazioni di corta durata e con esame del diritto a una rendita di invalidità e a unIMI). Tale momento è dato quando dalla continuazione della cura medica non vi è più da attendersi dei notevoli miglioramenti e quando eventuali provvedimenti integrativi dellassicurazione per linvalidità si sono conclusi(cfr.DTF 134 V 109consid.4.3 con riferimenti).</w:t>
      </w:r>
    </w:p>
    <w:p>
      <w:r>
        <w:t>Nel caso concreto, non vi sono in discussione provvedimenti integrativi dellAI, motivo per cui è determinante il momento in cui si è stabilizzato lo stato di salute della ricorrente.</w:t>
      </w:r>
    </w:p>
    <w:p>
      <w:r>
        <w:t>Assodato dunque che allamministrazione non può essere rimproveratodi averprematuramentechiuso la pratica,si pone la questione di sapere se lesame delladeguatezza deve avvenire in base allaprassi sviluppata nella DTF 117 V 359 ss. relativamente ai colpi di frusta e precisata nella DTF 134 V 109 oppure secondo i criteri applicabili in caso di evoluzione psichica abnorme conseguente a infortunio (DTF 115 V 133 ss.).</w:t>
      </w:r>
    </w:p>
    <w:p>
      <w:r>
        <w:t>Questa Corte rileva che, in base alla documentazione medica agli atti, in occasione dellevento infortunistico del maggio 2011, lassicurata ha riportato, in particolare, unalesione cerebrale traumatica lieve(Mild Traumatic Brain Injury; su questo aspetto si veda la STCA35.2013.89, consid. 2.10), di modo che, già per questa ragione, il nesso di causalità adeguata deve essere valutato secondo le regole inerenti allevoluzione psichica abnorme conseguente a infortunio ai sensi della DTF 115 V 133 (cfr. STF 8C_75/2016 del 18 aprile 2016 consid. 4.2 e i riferimenti ivi citati).</w:t>
      </w:r>
    </w:p>
    <w:p>
      <w:r>
        <w:t>Dal rapporto di polizia agli atti risulta la seguente dinamica:</w:t>
      </w:r>
    </w:p>
    <w:p>
      <w:r>
        <w:t>Da parte sua, il TCA ha classificato nella categoria degli infortuni di media gravità in senso stretto, lincidente della circolazione nel quale unassicurata era stata investita sulle strisce pedonali lamentando una frattura del sacro e ischio-pubica (frattura del Malgaigne), una frattura del corpo vertebrale di L5 a destra, una frattura del processo trasverso del corpo vertebrale di L4, nonché una contusione dellemitorace sinistro (cfr. STCA 35.2014.9 del 9 ottobre 2014 consid. 2.7., cresciuta incontestata in giudicato; si veda pure la STCA 35.2012.30 del 13 maggio 2013 consid. 2.4.6, anchessa cresciuta in giudicato).</w:t>
      </w:r>
    </w:p>
    <w:p>
      <w:r>
        <w:t>In tale eventualità, il giudice è tenuto a valutare le circostanze connesse con linfortunio, secondo i criteri elaborati dal Tribunale federale e qui evocati al consid. 2.5. Per ammettere ladeguatezza del nesso causale, è necessario che un fattore fosse presente in maniera particolarmente incisiva oppure lintervento di più criteri.</w:t>
      </w:r>
    </w:p>
    <w:p>
      <w:r>
        <w:t>In una sentenza 8C_897/2009 del 29 gennaio 2010 consid. 4.5, pubblicata in SVR 2010 UV Nr. 25 p. 100 s., il TF ha ribadito che - in caso di infortuni che fanno parte della categoria di grado medio vera e propria -, devono essere adempiuti almenotredei criteri di rilievo affinché possa essere riconosciuta lesistenza del nesso causale adeguato.</w:t>
      </w:r>
    </w:p>
    <w:p>
      <w:r>
        <w:t>Nellinfortuniodel maggio 2011, lassicurata ha riportato un trauma cranico lieve e contusioni a livello del ginocchio destro e della spalla sinistra. Nel prosieguo, ella ha presentato in particolare delle cefalee, risultate prive di sostrato organico, come pure una problematica psichica che, nel decorso, ha assunto unimportanza sempre più marcata.</w:t>
      </w:r>
    </w:p>
    <w:p>
      <w:r>
        <w:t>Del resto, secondo la giurisprudenza, questo criterio non può già essere considerato realizzato quando un determinato provvedimento medico non si rivela finalmente efficace (cfr. SVR 2009 UV 41 p. 142 consid. 5.6.1).</w:t>
      </w:r>
    </w:p>
    <w:p>
      <w:r>
        <w:t>Ora, conformemente alla giurisprudenza, provvedimenti diagnostici e semplici visite di controllo (cfr. STF 8C_327/2008 del 16 febbraio 2009 consid. 4.2), come pure la somministrazione di farmaci antidolorifici (cfr. STF8C_507/2010 del 18 ottobre 2010 consid. 5.3.4),non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STF8C_726/2010 del 19 novembre 2010 consid. 4.1.3 e 8C_655/2010 del 15 novembre 2010 consid. 4.2.4 e riferimenti).</w:t>
      </w:r>
    </w:p>
    <w:p>
      <w:r>
        <w:t>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concommotio cerebrie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delleesigenze decisamente più elevate.</w:t>
      </w:r>
    </w:p>
    <w:p>
      <w:r>
        <w:t>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(cfr.STF 8C_213/2011 del 7 giugno 2011 consid. 8.2.5e 8C_80/2009 del 5 giugno 2009 consid. 6.5 e riferimenti). In questo senso, il Tribunale federale ha negato la realizzazione di questo criterio anche nel caso di un decorso indiscutibilmente protratto (cfr. STF 8C_402/2011 del 10 febbraio 2012 consid. 5.4).</w:t>
      </w:r>
    </w:p>
    <w:p>
      <w:r>
        <w:t>In esito a quanto precede, si deve concludere che i disturbi denunciati dallinsorgente dopo il 30 gennaio 2013, non costituivano più una conseguenza adeguata dellevento infortunistico occorsole il 9 maggio 2011. Se ne deduce quindi che lassicuratore resistente era legittimato a dichiarare estinto il relativo suo obbligo a prestazioni a contare dal 31 gennaio 2013.</w:t>
      </w:r>
    </w:p>
    <w:p>
      <w:r>
        <w:t>Facendo difetto ladeguatezza, può essere lasciata aperta la questione relativa allesistenza delnesso di causalità naturaletra linfortunio e il danno alla salute(cfr., in proposito, SVR 1995 UV 23, p. 67 consid. 3c; STF U 17/07 del 30 ottobre 2007, consid. 3, U 606/06 del 23 ottobre 2007, consid. 4 e U 299/05 del 28 maggio 2007, consid. 5.2).</w:t>
      </w:r>
    </w:p>
    <w:p>
      <w:r>
        <w:t>2.11.   Deve ancora essere verificato se la ricorrente può essere posta al beneficio dellassistenza giudiziaria con il gratuito patrocinio dellavv. RA 1 (cfr. doc. I, p. 1).</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