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35.2019.17 vom 28. August 2019</w:t>
      </w:r>
    </w:p>
    <w:p>
      <w:r>
        <w:t>TI Tribunale d'appello, 2019-08-28, IT</w:t>
      </w:r>
    </w:p>
    <w:p>
      <w:r>
        <w:rPr>
          <w:b/>
        </w:rPr>
        <w:t xml:space="preserve">Quelle: </w:t>
      </w:r>
      <w:r>
        <w:t>https://mcp.opencaselaw.ch/entscheid/ti_gerichte_35.2019.17</w:t>
      </w:r>
    </w:p>
    <w:p>
      <w:r>
        <w:t>FR: TI_GERICHTE 35.2019.17 du 28 août 2019</w:t>
      </w:r>
    </w:p>
    <w:p>
      <w:r>
        <w:t>IT: TI_GERICHTE 35.2019.17 del 28 agosto 2019</w:t>
      </w:r>
    </w:p>
    <w:p>
      <w:pPr>
        <w:pStyle w:val="Heading2"/>
      </w:pPr>
      <w:r>
        <w:t>Regeste</w:t>
      </w:r>
    </w:p>
    <w:p>
      <w:r>
        <w:t>Determinazione entità della menomazione dell'integrità. Esistenza di dubbi, perlomeno lievi, a proposito della valutazione espressa dai medici interni all'amministrazione. Rinvio all'amministrazione per esecuzione di perizia esterna. Ammesso diritto a rimborso costi per perizia privata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all’entità della menomazione dell’integrità di cui è portatore l’insorgente a dipendenza dell’infortunio occorsogli il 25 settembre 2015. 2.3.   Secondo l'art. 24 cpv. 1 LAINF l'assicurato ha diritto a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 importante se l'integrità fisica, mentale o psichica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24segg. LAINF è, dunque, soltanto parziale: gli aspetti soggettivi del danno (segnatamente il pretium doloris e il pregiudizio estetico) ne sono esclusi (cfr. Ghélew, Ramelet, Ritter, op. cit., pag.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pag. 43; DTF 124 V 32; DTF 113 V 219 consid. 2a; RAMI 1988 U 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pag. 308ss. consid. 4b e dottrina ivi menzionata). 2.6.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pag.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con la decisione formale del 23 marzo 2018, l’CO 1 ha assegnato all’assicurato un’IMI del 15% a dipendenza dei postumi dell’evento traumatico del settembre 2015, e ciò facendo capo all’apprezzamento 24 gennaio 2018 del dott. __________, spec. FMH in chirurgia ortopedica e traumatologia. Questo il suo tenore: " (…). 1.    Reperti Stato dopo caduta senza conoscenza della dinamica con Frattura traumatica tipo C di L2 con grave compressione della causa con frattura dell’arco anteriore della III, IV, V, VI e VII costa a sinistra. Di stacco parcellare alla base del collo della scapola con frattura della porzione dell’apice a sinistra. Frattura del processo trasverso sinistro di D12, L1, L2, L3 e L4. Stato dopo decompressione del sacco durale a livello di L1 e L2, plastica durale, riduzione della frattura di L2 e stabilizzazione posteriore con viti transpeduncolari da Th11 a L4 (monitoraggio elettrofisiologico oltre 4 ore) il 25.09.2015. Stato dopo revisione di plastica durale lombare e sistema di stabilizzazione posteriore toraco-lombare il 5.10.2015 in presenza di pseudo-meningocele lombare. Stato dopo sviluppo di una laparocele lombare sinistra post-intervento per approccio ventrale, lombare. Stato dopo cura di laparocele lombare con rete Cabs Air 90 mm il 25.11.2016 (dr. med. __________). Stato dopo infiltrazione peri-radicolare L5 bilaterale il 19.12.2017 (Ospedale __________). Sviluppo di una vescica neurogena in un contesto di paraplegia incompleta sensitivo-motoria sub-D12. (…). 2.    Valutazione del danno all’integrità 10 + 5% = 15% 3.    Motivazione Secondo la tabella 7.2 del volume della menomazione dell’integrità, per una affezione della colonna lombare riguardante i dolori permanenti che aumentano sotto carico e presenti anche a riposo con una angolazione fino a 10°, si valuta una IMI tra il 5 e il 10%. In caso di dolore moderato con carico, dolore raro a riposo o non avendo dolore con rapido recupero viene valutato da 0 a 5%. In questo caso, dove si notano dolori sopportabili permanenti, che possono aumentare sotto carico con e senza a riposo, un 10% è giustificato. Valutando infine il disturbo neurologico permanente riguardante il diffuso disturbo della sensibilità superficiale ma più importante sviluppo di una vescica neurogena in un contesto di paraplegia incompleta sensitivo motoria su D12, sotto l’articolo 4 è previsto un aumento tra il 5 e il 15%. In questo caso dove l’assicurato ha raggiunto una buona autonomia tramite cateterismo con un detrusore con miglioramento, si può raggiungere un 5% per un totale di 15%.” (doc. 336 – fasc. 1) Nel quadro della procedura di opposizione, l’assicurato ha prodotto una valutazione del dott. __________, spec. FMH in chirurgia ortopedica, il quale ha contestato le conclusioni a cui è pervenuto il medico __________ dell’CO 1 in merito all’entità della menomazione dell’integrità. Queste le considerazioni da lui espresse: " (…) La quantificazione della IMI, in particolare per quanto attiene alla scala funzionale del dolore, risulta essere in apparente contrasto con l’entità dei disturbi descritti dal dr. __________ nel rapporto del 20.7.2017, così come e in particolare con la necessità di ricorrere tuttora a un trattamento antalgico regolare a base di oppiacei. Con riferimento alla tabella 7 estratto LAINF edizione Suva 2001, tenuto conto dell’intensità effettiva dei dolori residui e non di quella risultante dalla terapia medicamentosa antalgica in atto, ritengo di riflesso giustificato il riconoscimento di un’indennità per menomazione dell’integrità del 15%. Nell’apprezzamento del 24.1.2018 viene riconosciuta una IMI del 5% per il “disturbo neurologico permanente riguardante il diffuso disturbo della sensibilità superficiale ma più importante sviluppo di una vescica neurogena in un contesto di paraplegia incompleta sensitivo motoria su D12, sotto l’articolo 4 è previsto un aumento tra il 5 e il 15%. In questo caso dove l’assicurato ha raggiunto una buona autonomia tramite cateterismo con un detrusore con miglioramento”. La quantificazione del 5% è stata ritenuta facendo riferimento al capitolo 4 della tabella 7 estratto LAINF edizione Suva 2001, prendendo il valore minimo previsto dalla forchetta a disposizione in presenza di disturbi neurologici residuali. Nel caso specifico del signor RI 1 il riferimento alla tabella 7 risulta non essere appropriato. Le lesioni midollari vengono in effetti trattate in maniera dettagliata nella tabella 21 pubblicata dalla Suva nel 2006. (…). Concretamente, sulla base degli elementi a disposizione, il signor RI 1 presenta una paraplegia incompleta al di sotto di Th12 corrispondente a una classe di lesione D-E secondo la scala ASIA ritenuta nella tabella 21 al capitolo D capoverso b, rispettivamente, una sindrome della cauda e/o cono midollare (vedi a conferma in questo contesto oltre alla disfunzione urinaria e anale anche il disturbo della sensibilità perianale/peri-genitale e quello sensitivo-motorio incompleto degli arti inferiori) ritenuta nella tabella 21 al capitolo C. Benché dettagliato, in assenza di una quantificazione della forza dei diversi pacchetti muscolari, l’esame effettuato dal dr. __________ in data 20.12.2017 non permette di ritenere l’assenza completa di deficit neurologici motori al di sotto di Th12. Indipendentemente da questo dato di fatto, le condizioni per il riconoscimento di una classe di lesione E (tabella 21, capitolo D, capoverso b) non sono soddisfatti neppure in presenza di disturbi residuali delle funzioni sensoriali. Tenuto conto di quanto precede, la tabella 21 estratto LAINF edizione Suva 2006 giustifica il riconoscimento di una IMI del 45% in presenza di una lesione ASIA D-E al di sopra di L2, rispettivamente di almeno il 40% in presenza di una sindrome del cono midollare e/o della cauda. In considerazione di quanto precede, i postumi ritenuti dal dr. __________ nell’apprezzamento medico del 25.1.2018 giustificano il riconoscimento di un’indennità per menomazione dell’integrità complessiva di almeno il 60%.” (doc. 386 – fasc. 1) Prima di procedere all’emanazione della decisione su opposizione impugnata, l’amministrazione ha chiesto al PD dott. __________, spec. FMH in neurologia, di prendere posizione sul contenuto della valutazione espressa dallo specialista privatamente interpellato dall’assicurato. Il medico fiduciario ha così dichiarato che l’assicurato è affetto da una sindrome del cono midollare incompleta risultante da una lesione all’altezza di L2 con un disturbo neurogeno della funzione vescicale, disturbi della sensibilità peri-anale nelle zone S4/5 senza incontinenza fecale e impedimenti motori, con correlata completa mobilità. Pertanto, a suo avviso, la valutazione della menomazione dell’integrità deve avvenire secondo la tabella n. 21 edita dalla Divisione di medicina assicurativa dell’CO 1. In base alla tabella in questione, l’IMI ammonta al 20% in presenza di una paraplegia ASIA E senza deficit motori oggettivabili, di un disturbo funzionale della vescica di natura neurogena, di disturbi della sensibilità peri-anale senza incontinenza fecale, come pure di eventuali disturbi neurogeni e vertebrali, deformazione della colonna lombare dopo frattura di L2 e spondilodesi. Dopo essersi dichiarato d’accordo che, in concreto, l’IMI va determinata in applicazione della tabella n. 21, il dott. __________ si è distanziato dall’apprezzamento del dott. __________ nella misura in cui ha sostenuto che le conseguenze di affezioni del rachide contemplate in questa tabella non possono essere cumulate, nemmeno nel contesto di un confronto incrociato, con quelle di cui alla tabella 7 (doc. 396 – fasc. 1). Con rapporto del 14 gennaio 2019, il dott. __________ ha commentato criticamente le considerazioni espresse dal fiduciario dell’istituto assicuratore resistente. Trattandosi dell’affermazione secondo la quale si sarebbe in presenza di una paraplegia secondo ASIA E, senza deficit motori oggettivabili e con una correlata piena mobilità ( primo aspetto ), il dott. __________ ha osservato che l’assenza di uno stato neurologico dettagliato nei rapporti considerati dal dott. __________ non implica a priori un errore nella classificazione ASIA, che l’assenza di una quantificazione della diminuzione della forza documentata clinicamente in occasione della visita del 20 dicembre 2017 non permette di ritenere con sufficiente attendibilità un cambiamento della classificazione ASIA (rispetto a quella ritenuta all’uscita dal Centro __________ di __________), come pure che emergono elementi anamnestici e clinici che contrastano all’apparenza con l’assenza di deficit motori con correlata completa mobilità degli arti inferiori, ritenuta dal medico fiduciario. D’altro canto, per quanto riguarda le modalità di applicazione delle tabelle INSAI n. 7 e n. 21 ( secondo aspetto ), lo specialista interpellato dall’assicurato ha rilevato che “il capitolo C a pagina 5 della tabella 21, estratto LAINF edizione Suva 2006, fa esplicitamente riferimento al fatto che le deformazioni del rachide e i dolori neurogeni o vertebrali non debbano essere presi in considerazione a parte, se non quando presentano un’entità inabituale (“out of order”). (…). Nel rapporto del 20.7.2017, a praticamente due anni dall’evento, il dr. __________ fa riferimento alla persistenza di dolori al rachide di intensità tale da richiedere il ricorso regolare a dei preparati oppiacei. La persistenza di dolori cronici neuropatici risulta essere relativamente frequente e intrinseca alle lesioni midollari, rispettivamente della cauda. Tali disturbi, così come le altre disfunzioni neuropatiche (spasticità, …) vengono chiaramente inglobate nella classificazione ASIA. La persistenza di dolori dopo rimozione del materiale di osteosintesi al rachide lombare, di intensità invalidante tale da dover ricorrere regolarmente a dei preparati oppioidi, non può ragionevolmente venir considerata una situazione abituale anche in presenza di una sindrome incompleta del cono midollare.” (doc. 406 – fasc. 1). In data 6 marzo 2019, il PD dott. __________ ha dichiarato che dal rapporto del dott. __________ non emergono nuovi elementi di valutazione in merito all’entità della menomazione dell’integrità. Sul primo aspetto, egli fa valere che, in concreto, occorre fare capo esclusivamente allo stato motorio degli arti inferiori risultante dalla documentazione del Servizio di neurochirurgia dell’Ospedale __________ di __________ e della Clinica di riabilitazione __________ di __________, dove non sono stati oggettivati deficit neurologici. La diagnosi di paraplegia Th1 ASIA D posta dal Centro __________ di __________ non risulta basata su un proprio rilevamento dello score ASIA e, perciò, non può essere utilizzata. Sul secondo aspetto, il fiduciario dell’CO 1 ha segnatamente osservato che nella “… Tab. 21.5 ist, wie bereits in der vorherigen Beurteilung dargestellt, gemäss der Klassifizierung unter 4. zum einen die Wirbelsäulen-Deformität (beispielsweise nach unfallbedingten Frakturen oder nach Stabilisationseingriffen mittels Spondylodesen) ebenso erfasst, wie diesbezügliche Schmerzen unter 5., wo eben nicht nur neurogene, sondern auch vertebrogene Schmerzen, d.h. von den Wirbelkörper (lat. vertebra) ausgehende Schmerzen nozizeptiver Art, mit in das Ausmass der Tabelle der Integritätsschadensentschädigung eingehen. Auch Dr. __________ bestätigte dies in seinen erneuten Ausführungen vom 14.01.2019 auf S. 2. machte aber als Ausnahme geltend, dass die Entfernung von Osteosynthesematerial nicht dem “normalen” Zustand (“situazione abituale”) entspräche und daher zusätzlich bewertet werden müsste. Dies entspricht zum einen nicht dem klinischen Alltag, wo es häufig auch zur Entfernung von Osteosynthesematerial nach Knochendurchwachsung kommt, und zum anderen gibt Dr. __________ auch keinen Beleg für eine ausserordentliche Bewertung diesbezüglich an.” (allegato al doc. V). Il dott. __________ si è infine così espresso nel suo referto del 19 aprile 2019: " (…). -   Il tenore delle affermazioni non permette di dissipare il dubbio sull’effettivo stato neurologico sensitivo-motorio del signor RI 1. Il rapporto di ergoterapia del 13.6.2016 fa effettivamente stato di un paziente autonomo, senza aver tuttavia potuto effettuare una valutazione approfondita in considerazione della durata del soggiorno, per motivi quindi apparentemente organizzativi e non perché ritenuti non necessari/opportuni. Il dr. __________ puntualizza l’asserita “assenza di deficit stenico agli arti inferiori M5” ritenuta nel rapporto del 19.1.2016 della Clinica __________, con tuttavia insicurezza alla marcia a occhi chiusi, così come l’asserito “non deficit della forza o della sensibilità” nel rapporto del Servizio di neurochirurgia del 22.6.2016. Esso scotomizza per contro la debolezza all’estensione contro resistenza a destra esplicitamente descritta dal dr. __________ nel rapporto del 19.12.2017. In presenza di una lesione midollare documentata con residuale lesione della cauda, ritengo quindi che il dettaglio degli elementi clinici a disposizione non sia tale da permettere di considerare a priori un miglioramento della classificazione della scala Asia da D a E. -   Contrariamente a quanto ritenuto dal dr. __________, la situazione inabituale (“out of order”) non viene riferita per nulla alla rimozione del materiale di osteosintesi. Come già rilevato in precedenza essa risiede per contro nell’intensità dei dolori persistenti di intensità tale da richiedere la prescrizione regolare di preparati oppioidi. -   La tabella 7 estratto LAINF edizione Suva 2001, riferita alle affezioni della colonna vertebrale, utilizza come base di riferimento una scala funzionale del dolore per quantificare l’entità degli indennizzi. Indipendentemente da questa scala, al punto 4 vengono previsti dei supplementi per 3 situazioni specifiche, tra cui in particolare la persistenza di deficit neurologici. In considerazione della differenziazione riscontrata nella tabella 7, appare per lo meno fonte di perplessità il fatto che secondo il dr. __________ la quantificazione del danno neurologico alla tabella 21 comprenda a priori anche i dolori di natura vertebrale (e quindi non neuropatici!) indipendentemente dalla loro entità.” (allegato al doc. XI)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Nel caso di specie, il TCA non può confermare la decisione su opposizione impugnata nella misura in cui l’insorgente è stato posto al beneficio di un’IMI del 20%. In effetti, ricordato che quella della quantificazione della menomazione dell’integrità è una questione di natura squisitamente medica, agli atti figurano rapporti medici contenenti motivazioni e conclusioni divergenti – da una parte quelli del dott. __________ (menomazione dell’integrità del 20%), dall’altra quelli allestiti dal dott. __________ (menomazione dell’integrità del 60% almeno)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dalla documentazione a disposizione emergono dunque elementi suscettibili di generare dei dubbi, perlomeno lievi, circa l’affidabilità dei referti medici sui quali l’istituto assicuratore ha fondato la propria decisione di quantificare in un 20% la menomazione dell’integrità di cui è portatore il ricorrente, dubbi che inducono questo Tribunale a costarsene (per un caso recente in cui la Corte federale ha annullato il giudizio cantonale ritenendo che, alla luce dei referti agli atti dei medici consultati dall’assicurato, alle considerazioni espresse dal medico __________ non poteva essere data “quella sufficiente concludenza, tale da escludere anche il minimo dubbio di una soluzione differente”, si veda la STF 8C_23/2019 del 6 agosto 2019 consid. 4.3).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del proprio medico fiduciario (per un caso analogo, si veda la STF 8C_757/2014 del 16 gennaio 2015 consid. 3.2). P er le ragioni già esposte al considerando 2.9. , si giustifica pertanto l’annullamento della decisione su opposizione impugnata nella misura in cui all’assicurato è stata assegnata un’IMI del 20% e il rinvio degli atti all’assicuratore resistente affinché disponga un approfondimento peritale esterno (art. 44 LPGA) volto a definire la menomazione dell’integrità dipendente dall’infortunio accaduto il 25 settembre 2015 . 2.11.   RI 1 pretende inoltre il rimborso dei costi legati all’allestimento dei rapporti agli atti del dott. __________ (cfr. doc. I e XI).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Nella concreta evenienza, il TCA constata che è proprio sulla base dei rapporti allestiti dal dott. __________ che esso ha deciso sussistere dei dubbi circa la fondatezza delle conclusioni a cui è pervenuto il medico di fiducia dell’CO 1 (e, in ultima analisi, di rinviare gli atti a quest’ultimo per esecuzione di una perizia esterna in merito all’entità della menomazione dell’integrità di cui è portatore l’insorgente). Sono dunque adempiuti i presupposti per addossare all’istituto convenuto i costi generati dall’intervento del dott. __________ (agli atti figurano le note d’onorario emesse da questo specialista, ammontanti a fr. 750 [fr. 300 + fr. 300 + fr. 150] - cfr. doc. A3, doc. A4 e doc. B2).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