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35.2019.139 vom 16. September 2020</w:t>
      </w:r>
    </w:p>
    <w:p>
      <w:r>
        <w:t>TI Tribunale d'appello, 2020-09-16, IT</w:t>
      </w:r>
    </w:p>
    <w:p>
      <w:r>
        <w:rPr>
          <w:b/>
        </w:rPr>
        <w:t xml:space="preserve">Quelle: </w:t>
      </w:r>
      <w:r>
        <w:t>https://mcp.opencaselaw.ch/entscheid/ti_gerichte_35.2019.139</w:t>
      </w:r>
    </w:p>
    <w:p>
      <w:r>
        <w:t>FR: TI_GERICHTE 35.2019.139 du 16 septembre 2020</w:t>
      </w:r>
    </w:p>
    <w:p>
      <w:r>
        <w:t>IT: TI_GERICHTE 35.2019.139 del 16 settembre 2020</w:t>
      </w:r>
    </w:p>
    <w:p>
      <w:pPr>
        <w:pStyle w:val="Heading2"/>
      </w:pPr>
      <w:r>
        <w:t>Regeste</w:t>
      </w:r>
    </w:p>
    <w:p>
      <w:r>
        <w:t>Discussa estinzione del nesso di causalità naturale con l'infortunio. Rinvio atti all'assicuratore per perizia esterna</w:t>
      </w:r>
    </w:p>
    <w:p>
      <w:pPr>
        <w:pStyle w:val="Heading2"/>
      </w:pPr>
      <w:r>
        <w:t>Erwägungen</w:t>
      </w:r>
    </w:p>
    <w:p>
      <w:r>
        <w:rPr>
          <w:b/>
        </w:rPr>
        <w:t>E. 10</w:t>
      </w:r>
    </w:p>
    <w:p>
      <w:r>
        <w:t>ottobre 2001, pubblicata in RDAT I-2002 pag. 190 seg.; STFA H 304/99 del 22 dicembre 2000; STFA I 623/98 del 26 ottobre 1999. Vedi pure: STF 9C_807/2014 del 9 settembre 2015; STF 9C_585/2014 dell’8 settembre 2015). nel merito 2.2.   O ggetto della lite è la questione di sapere se la CO 1 era legittimata a negare ab initio il proprio obbligo a prestazioni, oppure no. 2.3   L ’amministrazione sostiene che RI 1 non ha subito traumi a seguito di quanto avvenuto il 24 novembre 2018, e meglio come risulta dal verbale di Polizia del 26 novembre 2018, a margine del quale l’assicurato, con riferimento ai fatti del 24 novembre 2018, ha dichiarato che “ (…) non riportavo alcuna ferita” (doc. 33, pag. 7). La CO 1 mette dunque in dubbio l’ esistenza stessa di un infortunio ai sensi di legge (e non tanto l’esistenza di un nesso di causalità tra i disturbi denunciati dal ricorrente e il sinistro annunciato). 2.4.   Secondo l’art. 6 cpv. 1 LAINF, per quanto non previsto altrimenti dalla legge, le prestazioni assicurative sono effettuate in caso d’infortuni professionali, d’infortuni non professionali e di malattie professionali.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Ghèlew, Ramelet, Ritter, Commentaire de la loi sur l'assurance-accidents (LAA), Losanna 1992, p. 44-51). Scopo della definizione è di tracciare un chiaro confine tra infortunio e malattia. Conformemente alla giurisprudenza, tocca all'assicurato rendere verosimile l'esistenza, in concreto, di tutti gli elementi costitutivi d'infortunio. Se egli non soddisfa questa esigenza, fornendo delle indicazioni incomplete, imprecise oppure contraddittorie circa lo svolgimento dell’evento, che non consentono di rendere verosimile l’esistenza di un infortunio, l’assicurazione non è tenuta a prendere a carico il caso (cfr. DTF 116 V 136 consid. 4b e i riferimenti ivi menzionati). Gli stessi principi sono applicabili alla prova dell'esistenza di una lesione parificata ad infortunio (DTF 114 V 306 consid. 5b; 116 V 141 consid. 4b). Per un caso concreto in cui il TCA ha applicato tali principi, si veda la STCA 35.2014.64 del 6 agosto 2015, confermata dal TF con la pronunzia 8C_666/2015 del 17 maggio 2016. 2.5.   A proposito della tesi difesa dall’amministrazione, secondo la quale “ (…) nel rapporto di polizia, l’assicurato afferma di non aver subito alcuna ferita (…) Alcuni mesi dopo, nel “formulario d’annuncio infortunio” afferma invece di essere caduto a terra, mentre al visitatore clienti CO 1 afferma di aver subito diversi colpi e torsioni nel voler fermare la vettura. È pacifico come le versioni siano in contraddizione tra loro. Su questo non ci sono dubbi. Ed è per questo che va accordata la preferenza alla versione data subito dopo l’evento alla polizia. Versione nella quale l’assicurato afferma di non aver riportato alcuna ferita” , il TCA osserva quanto segue.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STFA U 6/02 del 18 dicembre 2002, consid. 2.2.). Tale principio non è, inoltre, applicabile se dall'istruttoria della causa siano da attendersi nuovi elementi cognitivi (cfr. RAMI 2004 U 524, p.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Nella presente fattispecie, va innanzitutto evidenziato che nell’annuncio d’infortunio del 17 marzo 2019 è stato il datore di lavoro e, quindi, non l’assicurato, come, invece, erroneamente ritenuto dall’istituto assicuratore, a comunicare alla CO 1 che il suo dipendente, il 18 febbraio 2019, alle ore 16:00, era rimasto vittima di “ una caduta a terra ” ed aveva, così, lesionato la spalla (doc. 4). Circa la dinamica del sinistro - che ha indicato essergli occorso il 24 novembre 2018 - in occasione del verbale d’interrogatorio tenutosi il 26 novembre 2018 presso gli uffici della Polizia cantonale a __________, l’assicurato ha, da parte sua, dichiarato che: " (…) arrestavo la mia corsa e inserivo il freno a mano, siccome il veicolo si trovava in leggera salita e inserivo la marca in folle. Successivamente abbandonavano il veicolo per recarmi a consegnare il pane, lasciando la portiera aperta. Mi allontanavo per circa 4 metri, quando tutto d’un tratto vedevo il mio veicolo che si stava muovendo. A quel punto correvo per cercare di fermare la vettura. Purtroppo non riuscivo nel mio intento, per questo motivo con la portiera urtavo in un primo momento contro il pilastro in granito della tettoia, per poi terminare la (…) corso contro un pilone della luce. A seguito dell’urto il mio veicolo ha riportato danni su tutta la fiancata sinistra. Da parte mia non riportavo alcuna ferita.” (doc. 33, pag. 6-7) Invitato dall’amministrazione a fornire maggiori ragguagli, in data 1° aprile 2019, il ricorrente ha riferito che: " (…) stavo facendo il mio giro per la distribuzione del pane, per la __________ di __________. Ho parcheggiato il veicolo in una strada in leggera salita, forse non ho tirato abbastanza il freno a mano, sta di fatto che il mezzo ha iniziato a muoversi all’indietro. Sono prontamente risalito sul veicolo per cercare di fermarlo ma sono stato trascinato fino a quando (ca 30 metri) si è fermato con un palo della luce. Nella fase del trascinamento e dell’urto finale ho subito diversi colpi e torsioni alla spalla destra contro il piantone del furgone.” (doc. 14, pag. 1) Con rapporto del 26 marzo 2019, il medico curante dell’assicurato, dr. med. __________, ha indicato che la prima consultazione è avvenuta il 25 febbraio 2019 e che: " Nel mese di novembre 2018 (RI 1, n.d.r.) si era fermato con l’auto in salita non tirando a sufficienza il freno a mano e quando è uscito questa ha cominciato a retrocedere prendendo sempre più velocità e cercando di entrare per tirare il freno a mano è stato trascinato per una 50 di metri prima di fermarsi contro un palo.” (doc. 11) La dinamica del sinistro risultante dall’anamnesi raccolta dal dr. med. __________, spec. FMH in chirurgia ortopedica e traumatologia, è analoga a quella riferita dal dr. med. __________. 2.6.   Secondo il TCA, l'invocato principio della priorità della “dichiarazione della prima ora ” – nel caso concreto identificata dall’istituto assicuratore con quanto RI 1 ha riferito a verbale presso gli uffici della Polizia cantonale il 26 novembre 2018 - non può trovare applicazione nel caso concreto. Al riguardo, va innanzitutto rilevato che la versione dei fatti descritta dall’assicurato a margine della sua audizione del 1° aprile 2019 (doc. 14) completa (e non contraddice) quanto dichiarato innanzi alla Polizia il 26 novembre 2018. A titolo abbondanziale si rileva, poi, che in quella sede, l’insorgente era di tutta evidenza chiamato a far chiarezza sulle dinamiche del sinistro e su eventuali danni materiali, più che sull’infortunio subìto. Secondo il TCA, decisivo è dunque quanto personalmente indicato dalla persona assicurata nella sua prima descrizione dettagliata dell’accaduto, rispondendo ai quesiti posti nel noto questionario oppure in occasione della sua audizione da parte di un funzionario dell’amministrazione (cfr., in proposito, KOSS – Hürzeler/Kieser, Art. 6 LAINF, n. 12). Ora, la prima volta in cui RI 1 è entrato in contatto diretto con il proprio assicuratore, è stata in occasione della sua audizione da parte di un ispettore della CO 1 . Le domande che gli sono state rivolte erano volte proprio a chiarire, nel dettaglio, come si è svolto l’evento annunciato. Tutto ben considerato, questa Corte non può, dunque, confermare la decisione della CO 1 nella misura in cui ha negato ab initio il proprio obbligo a prestazioni, per il motivo che il ricorrente non sarebbe rimasto vittima di un infortunio. Visto quanto precede, il TCA è chiamato a esaminare la questione relativa all’esistenza – negata dalla CO 1 - di un nesso di causalità naturale tra l’evento del 24 novembre 2018 ed i disturbi lamentati dall’assicurato. 2.7.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nemmeno persistenti dolori bastano a conferire il diritto alla continuazione del trattamento se da questo non si può sperare un miglioramento sensibile dello stato di salute (cfr. Ghélew, Ramelet, Ritter, Commentaire de la loi sur l’assurance-accidents (LAA), Losanna 1992, p. 41 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2.8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DTF 134 V 109 consid. 9.5.; RDAT II-2001 N. 91 p. 378; SVR 2001 KV Nr. 50 p. 145; DTF 126 V 360 consid. 5b; DTF 125 V 195; STFA del 4 luglio 2003 U 133/02; STFA U 162/02 del 29 gennaio 2001; DTF 121 V 6; STFA H 407/99 del 28 novembre 2000; STFA C 116/00 del 22 agosto 2000; STFA C 341/98 del 23 dicembre 1999 consid. 3, pag.,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pag.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(cfr.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STF 8C_12/2019 del 4 marzo 2019 consid. 3; STF 8C_160/2012 del 13 giugno2012 consid. 2; RAMI 1992 U 142, pag.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2.9.   Nel caso di specie, dalle carte processuali emerge che la CO 1 ha fondato la decisione di negare il proprio obbligo a prestazioni in relazione al danno alla spalla destra, facendo capo alla valutazione del 24 settembre 2019 del dr. med. __________, spec. FMH in chirurgia. Con la propria impugnativa, il ricorrente, fondandosi in particolare sul parere del dr. med. __________, al quale si era privatamente rivolto, contesta la fondatezza delle conclusioni a cui è giunto il medico fiduciario. RI 1, per il tramite della propria patrocinatrice, sostiene che i persistenti disturbi interessanti la spalla destra non sarebbero imputabili a uno stato morboso preesistente, bensì all’evento del 24 novembre 2018. Dalle carte processuali emerge quanto segue. Il 27 marzo 2019, il ricorrente è stato privatamente visitato dal dr. med. __________. Dal rapporto redatto il 6 giugno 2019 risulta che, trattandosi della spalla destra e partendo dal presupposto che il 24 novembre 2018 RI 1 avesse subito un trauma distorsivo e contusivo diretto, oltre che indiretto, a quella parte del corpo, mentre tentava di fermare l’autoveicolo messosi in movimento, lo specialista in questione ha rilevato che: " (…) è molto frequente che vi siano col passare del tempo delle lesioni degenerative del tutto asintomatiche a livello della spalla e solo un trauma distorsivo e/o contusivo risveglia una situazione infiammatoria e algica con impotenza funzionale, mai rilevata prima del suddetto trauma. A mio giudizio vi è un nesso di causalità certo tra quanto avvenuto e la comparsa dei dolori e la conseguente impotenza funzionale, mentre la situazione anatomica era almeno in parte presente prima del trauma.” (doc. 25, pag. 8) Dopo aver esaminato la documentazione agli atti, il 24 settembre 2019, il dott. __________ ha osservato che “(…) la lesione dell’infraspinato risale a vecchissima data: come depone la letteratura, una degenerazione adiposa di grado II-III secondo Goutallier corrisponde ad almeno 2-3 (due, tre) anni dalla lesione progressiva al tendine mentre, la lesione del sovraspinato con una retrazione tendinea di 2.2 cm. avrebbe anch’essa dovuto provocare immediatamente una pseudo paralisi del cingolo omero-scapolare destro cosa che non si è verificato. La grave artrosi dell’articolazione acromio-clavicolare con osteofitosi inferiore è nota per causare lesione degenerative a livello della cuffia dei rotatori, favorendo la risalita della testa omerale successiva e gli ulteriori anni alle altre componenti della cuffia dei rotatori. Si menziona, infine, l’età del paziente: sappiamo che sopra i 50 anni, inizia la degenerazione della cuffia dei rotatori che, nel corso degli ulteriori anni, culmina con lesioni degenerative con lesioni dei tendini della cuffia giungendo ad una incidenza del 98%-99% all’età di 75-80 anni . ”. Contestualmente, egli ha rilevato che la risonanza magnetica era stata eseguita a distanza di tre mesi dall’evento e che, in base al criterio della verosimiglianza preponderante, non si può affermare che i fatti del 24 novembre 2018 avrebbero causato una lesione effettiva della cuffia dei rotatori della spalla destra (doc. 41, pag. 3). Con referto del 10 dicembre 2019, il dr. med. __________ ha criticamente commentato le considerazioni espresse dal dr. med. __________, il quale si sarebbe focalizzato sulla sola lesione del tendine infraspinato, precisando che: " (…) ribadisco il fatto che vi è stato un trauma, significativo dalla dinamica descritta dal paziente, che ha visto traumatizzare una preesistente lesione della cuffia, sino a quel momento asintomatica, e questo ci sta bene al 100% per il tendine infraspinato, mentre manco del tutto la degenerazione e infiltrazione grassa a carico del muscolo del tendino sovraspinato, che è poi quello che verosimilmente si è almeno parzialmente strappato nel trauma! Infine in merito alla nozione di comparsa di ematoma intorno alla spalla e/o a livello del braccio subito dopo al trauma quella nozione di “subito” non era stata scavata e dettagliata più a fondo ma nella realtà questo può succedere nei giorni successivi al trauma, per effetto di lacerazione di tessuti, e quindi di sanguinamento, profondo, che avviene a livello della cuffia e non può manifestarsi a livello sottocutaneo già nelle ore consecutive al trauma.” (doc. 47, pag. 5-6) Invitato ad esprimersi, in data 20 gennaio 2020, il dr. med. __________ ha osservato che nella RMN del 26 febbraio 2019 si riscontra una trazione del tendine del sovraspinato di 22 mm, ciò che depone per una lesione di origine degenerativa. Egli ha inoltre rilevato che l’immediata abolizione della motilità attiva in elevazione e rotazione esterna o lo sviluppo di una spalla pseudo paralitica dovuta alla lesione della cuffia dei rotatori è riscontrata classicamente dopo un infortunio, e meglio come precisato nella pubblicazione del gruppo di esperti svizzeri nella chirurgia della spalla e del gomito allegata alla sua presa di posizione. Da ultimo, il medico fiduciario ha rilevato che in caso di rottura dei tendini della cuffia, vi è un sanguinamento (e quindi eventuale ematoma) minimo, che si accumula non nella zona cutanea, bensì nelle borse sottoacromiale e/o sottodeltoidea (doc. 57, pag. 1-2). 2.10.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2.11.   Chiamata ora a pronunciarsi, questa Corte non può confermare la decisione dell’amministrazione che non ritiene dimostrata l’esistenza di un legame causale tra l’evento del 24 novembre 2018 ed i disturbi alla spalla destra annunciati dall’assicurato. In effetti, su questo aspetto, agli atti figurano valutazioni tra loro contraddittorie (cfr. consid. 2.9) che non consentono a questo Tribunale di decidere, in un senso oppure nell’altro. In particolare, i rapporti del dr. med. __________ sono atti a generare dubbi più che lievi circa la correttezza della valutazione del medico fiduciario. In simili casi, la giurisprudenza federale prevede che la vertenza non può essere decisa basandosi sull’uno o sull’altro dei pareri a disposizione ma che occorre ordinare una perizia ad opera di un medico indipendente secondo la procedura di cui all’art. 44 LPGA oppure una perizia giudiziaria (cfr. STF 8C_456/2010 del 19 aprile 2011 consid. 3; in questo senso, si veda pure la STF 8C_943/2010 del 9 novembre 2011, consid. 3.2.). 2.12.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recente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Nella presente fattispecie, la CO 1 ha fondato la decisione su opposizione impugnata esclusivamente sul parere del proprio medico fiduciario. In casi del genere, per costante prassi, il TCA, anziché ordinare esso stesso una perizia giudiziaria, rinvia gli atti all’amministrazione affinché disponga una perizia esterna ai sensi dell’art. 44 LPGA (cfr., in questo senso, STF 8C_757/2014 del 16 gennaio 2015 consid. 3.2.,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pag. 137 seg. n. 15 pag. 140). Per le ragioni esposte al considerando 2.11., si giustifica l’annullamento della decisione su opposizione impugnata. L’istituto assicuratore resistente, a cui gli atti vengono retrocessi, dovrà disporre un approfondimento peritale esterno (art. 44 LPGA) volto a definire se i disturbi interessanti la spalla destra denunciati dall’assicurato costituiscono, oppure no, una conseguenza naturale dell’infortunio del 24 novembre 2018. Esperiti questi accertamenti medici, l’amministrazione si pronuncerà nuovamente sul diritto alle prestazioni dell’assicurato. 2.13.   Visto l’esito del ricorso (il rinvio con esito aperto equivale a piena vittoria, cfr., da ultimo, la STF 8C_859/2018 del 26 novembre 2018 consid. 5 con rinvio a DTF 137 V 210 consid. 7.1 pag. 271 e riferimento), la CO 1 verserà al ricorrente l’importo fr. 2'500.-- (IVA inclusa) a titolo d’indennità per ripetibili.</w:t>
      </w:r>
    </w:p>
    <w:p>
      <w:r>
        <w:rPr>
          <w:b/>
        </w:rPr>
        <w:t>E. 18</w:t>
      </w:r>
    </w:p>
    <w:p>
      <w:r>
        <w:t>dicembre 2002, consid. 2.2.). Tale principio non è, inoltre, applicabile se dall'istruttoria della causa siano da attendersi nuovi elementi cognitivi (cfr. RAMI 2004 U 524, p.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w:t>
      </w:r>
    </w:p>
    <w:p>
      <w:r>
        <w:t>Occorre, poi, fondarsi sulla seconda versione quando questa si limita a completare e non contraddice la prima versione (cfr. STF U 33/07 del 20 marzo 2007).</w:t>
      </w:r>
    </w:p>
    <w:p>
      <w:r>
        <w:t>Il diritto alle prestazioni assicurative presuppone pure l'esistenza di unnesso di causalità adeguatatra levento dannoso e il danno alla salute. In caso di danno alla salute fisica, il nesso di causalità adeguata è generalmente ammesso, dal momento in cui è accertata la causalità naturale (cfr. DTF 127 V 102 consid. 5b/bb p. 103).</w:t>
      </w:r>
    </w:p>
    <w:p>
      <w:r>
        <w:t>2.9.   Nel caso di specie, dalle carte processuali emerge che la CO 1 ha fondato la decisione di negare il proprio obbligo a prestazioni in relazione al danno alla spalla destra, facendo capo alla valutazione del 24 settembre 2019 del dr. med. __________, spec. FMH in chirurgia.</w:t>
      </w:r>
    </w:p>
    <w:p>
      <w:r>
        <w:t>Con la propria impugnativa, il ricorrente, fondandosi in particolare sul parere del dr. med. __________, al quale si era privatamente rivolto, contesta la fondatezza delle conclusioni a cui è giunto il medico fiduciario. RI 1, per il tramite della propria patrocinatrice, sostiene che i persistenti disturbi interessanti la spalla destra non sarebbero imputabili a uno stato morboso preesistente, bensì allevento del 24 novembre 2018.</w:t>
      </w:r>
    </w:p>
    <w:p>
      <w:r>
        <w:t>Dalle carte processuali emerge quanto segue.</w:t>
      </w:r>
    </w:p>
    <w:p>
      <w:r>
        <w:t>Il 27 marzo 2019, il ricorrente è stato privatamente visitato dal dr. med. __________. Dal rapporto redatto il 6 giugno 2019 risulta che, trattandosi della spalla destra e partendo dal presupposto che il 24 novembre 2018 RI 1 avesse subito un trauma distorsivo e contusivo diretto, oltre che indiretto, a quella parte del corpo, mentre tentava di fermare lautoveicolo messosi in movimento, lo specialista in questione ha rilevato che:</w:t>
      </w:r>
    </w:p>
    <w:p>
      <w:r>
        <w:t>Dopo aver esaminato la documentazione agli atti, il 24 settembre 2019, il dott. __________ ha osservato che () la lesione dellinfraspinato risale a vecchissima data: come depone la letteratura, una degenerazione adiposa di grado II-III secondo Goutallier corrisponde ad almeno 2-3 (due, tre) anni dalla lesione progressiva al tendine mentre, la lesione del sovraspinato con una retrazione tendinea di 2.2 cm. avrebbe anchessa dovuto provocare immediatamente una pseudo paralisi del cingolo omero-scapolare destro cosa che non si è verificato. La grave artrosi dellarticolazione acromio-clavicolare con osteofitosi inferiore è nota per causare lesione degenerative a livello della cuffia dei rotatori, favorendo la risalita della testa omerale successiva e gli ulteriori anni alle altre componenti della cuffia dei rotatori. Si menziona, infine, letà del paziente: sappiamo che sopra i 50 anni, inizia la degenerazione della cuffia dei rotatori che, nel corso degli ulteriori anni, culmina con lesioni degenerative con lesioni dei tendini della cuffia giungendo ad una incidenza del 98%-99% alletà di 75-80 anni.. Contestualmente, egli ha rilevato che la risonanza magnetica era stata eseguita a distanza di tre mesi dallevento e che, in base al criterio della verosimiglianza preponderante, non si può affermare che i fatti del 24 novembre 2018 avrebbero causato una lesione effettiva della cuffia dei rotatori della spalla destra (doc. 41, pag. 3).</w:t>
      </w:r>
    </w:p>
    <w:p>
      <w:r>
        <w:t>Con referto del 10 dicembre 2019, il dr. med. __________ ha criticamente commentato le considerazioni espresse dal dr. med. __________, il quale si sarebbe focalizzato sulla sola lesione del tendine infraspinato, precisando che:</w:t>
      </w:r>
    </w:p>
    <w:p>
      <w:r>
        <w:t>Invitato ad esprimersi, in data 20 gennaio 2020, il dr. med. __________ ha osservato che nella RMN del 26 febbraio 2019 si riscontra una trazione del tendine del sovraspinato di 22 mm, ciò che depone per una lesione di origine degenerativa. Egli ha inoltre rilevato che limmediata abolizione della motilità attiva in elevazione e rotazione esterna o lo sviluppo di una spalla pseudo paralitica dovuta alla lesione della cuffia dei rotatori è riscontrata classicamente dopo un infortunio, e meglio come precisato nella pubblicazione del gruppo di esperti svizzeri nella chirurgia della spalla e del gomito allegata alla sua presa di posizione. Da ultimo, il medico fiduciario ha rilevato che in caso di rottura dei tendini della cuffia, vi è un sanguinamento (e quindi eventuale ematoma) minimo, che si accumula non nella zona cutanea, bensì nelle borse sottoacromiale e/o sottodeltoidea (doc. 57, pag. 1-2).</w:t>
      </w:r>
    </w:p>
    <w:p>
      <w:r>
        <w:t>2.10.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consid.2.1.1; U.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w:t>
      </w:r>
    </w:p>
    <w:p>
      <w:r>
        <w:t>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2.11.   Chiamata ora a pronunciarsi,questa Corte non può confermare la decisione dellamministrazione che non ritiene dimostrata lesistenza di un legame causale tra levento del 24 novembre 2018 ed i disturbi alla spalla destra annunciati dallassicurato. In effetti, su questo aspetto, agli atti figurano valutazioni tra loro contraddittorie (cfr. consid. 2.9) che non consentono a questo Tribunale di decidere, in un senso oppure nellaltro. In particolare, i rapporti del dr. med. __________ sono atti a generare dubbi più che lievi circa la correttezza della valutazione del medico fiduciario.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