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35.2019.134 vom 3. September 2020</w:t>
      </w:r>
    </w:p>
    <w:p>
      <w:r>
        <w:t>TI Tribunale d'appello, 2020-09-03, IT</w:t>
      </w:r>
    </w:p>
    <w:p>
      <w:r>
        <w:rPr>
          <w:b/>
        </w:rPr>
        <w:t xml:space="preserve">Quelle: </w:t>
      </w:r>
      <w:r>
        <w:t>https://mcp.opencaselaw.ch/entscheid/ti_gerichte_35.2019.134</w:t>
      </w:r>
    </w:p>
    <w:p>
      <w:r>
        <w:t>FR: TI_GERICHTE 35.2019.134 du 3 septembre 2020</w:t>
      </w:r>
    </w:p>
    <w:p>
      <w:r>
        <w:t>IT: TI_GERICHTE 35.2019.134 del 3 settembre 2020</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2.2.   Litigiosa è la questione di sapere se lCO 1 era legittimato a dichiarare estinto il proprio obbligo a prestazioni dipendente dagli infortuni del 2016 e 2017, oppure no.</w:t>
      </w:r>
    </w:p>
    <w:p>
      <w:r>
        <w:t>2.3.   Secondo lart. 6 cpv. 1 LAINF, per quanto non previsto altrimenti dalla legge, le prestazioni assicurative sono effettuate in caso dinfortuni professionali, dinfortuni non professionali e di malattie professionali.</w:t>
      </w:r>
    </w:p>
    <w:p>
      <w:r>
        <w:t>2.4.   Il diritto alle prestazioni risultante da un infortunio assicurato presuppone lesistenza di unnesso di causalità naturaletra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unaconditio sine qua nondel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w:t>
      </w:r>
    </w:p>
    <w:p>
      <w:r>
        <w:t>2.5.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(status quo ante) oppure se ha raggiunto lo stadio che sarebbe prima o poi subentrato anche senza l'infortunio (status quo sine) (RAMI 1992 U 142 p. 75 consid.4b; A. Maurer, Schweizerisches Unfallversicherungsrecht, p. 469; U. Meyer-Blaser, Die Zusammenarbeit von Richter und Arzt in der Sozialversicherung,inBollettino dei medici svizzeri 71/1990, p. 1093).</w:t>
      </w:r>
    </w:p>
    <w:p>
      <w:r>
        <w:t>Il solo fatto che la sintomatologia sia apparsa soltanto dopo un infortunio, non basta per stabilire un rapporto di causalità naturale con questo medesimo infortunio (ragionamento post hoc, ergo propter hoc; cfr. DTF 119 V 335 consid. 2b/bb p. 341s.; RAMI 1999 U 341 p. 408s. consid. 3b). Occorre di principio ricercarne leziologia e verificare, su questa base, lesistenza del nesso di causalità con levento assicurato. Pertanto, in materiadinfortunio del tipo colpo di frusta alla colonna cervicale, di trauma equivalente oppure di trauma cranio-cerebrale,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w:t>
      </w:r>
    </w:p>
    <w:p>
      <w:r>
        <w:t>2.6.   Il diritto alle prestazioni assicurative presuppone pure l'esistenza di unnesso di causalità adeguatatra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w:t>
      </w:r>
    </w:p>
    <w:p>
      <w:r>
        <w:t>-  le circostanze concomitanti particolarmente drammatiche o la particolare spettacolarità dell'infortunio;</w:t>
      </w:r>
    </w:p>
    <w:p>
      <w:r>
        <w:t>-  la gravità o particolare caratteristica delle lesioni lamentate, segnatamente la loro idoneità, secondo l'esperienza, a determinare disturbi psichici;</w:t>
      </w:r>
    </w:p>
    <w:p>
      <w:r>
        <w:t>-  la durata eccezionalmente lunga della cura medica;</w:t>
      </w:r>
    </w:p>
    <w:p>
      <w:r>
        <w:t>-  i disturbi somatici persistenti;</w:t>
      </w:r>
    </w:p>
    <w:p>
      <w:r>
        <w:t>-  la cura medica errata che aggrava notevolmente gli esiti dell'infortunio;</w:t>
      </w:r>
    </w:p>
    <w:p>
      <w:r>
        <w:t>-  il decorso sfavorevole della cura e le complicazioni rilevanti intervenute;</w:t>
      </w:r>
    </w:p>
    <w:p>
      <w:r>
        <w:t>-  il grado e la durata dell'incapacità lavorativa dovuta alle lesioni fisiche.</w:t>
      </w:r>
    </w:p>
    <w:p>
      <w:r>
        <w:t>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w:t>
      </w:r>
    </w:p>
    <w:p>
      <w:r>
        <w:t>2.7.   In presenza di un infortunio del tipo colpo di frusta alla colonna cervicale, di un trauma equivalente oppure di un trauma cranio-cerebrale, senza prova di deficit funzionale organico, i criteri della causalità adeguata devono essere esaminati senza differenziare le componenti psichiche da quelle somatiche, e ciò contrariamente a quanto avviene trattandosi di disturbi psichici insorti a seguito di un infortunio, per i quali vanno considerati unicamente gli aspetti organici (cfr. DTF 127 V 102 consid. 5b/bb p. 103 e SVR 2007 UV 8 p. 27, consid. 2ss.).</w:t>
      </w:r>
    </w:p>
    <w:p>
      <w:r>
        <w:t>2.8.   Nella DTF 134 V 109, già citata in precedenza, il Tribunale federale ha precisato, da più punti di vista, la propria giurisprudenza riguardante la valutazione della causalità in caso di disturbi organicinonoggettivabili e, specificatamente, quella elaborata in materia di traumi daccelerazione al rachide cervicale, di traumi equivalenti oppure di traumi cranio-cerebrali.</w:t>
      </w:r>
    </w:p>
    <w:p>
      <w:r>
        <w:t>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w:t>
      </w:r>
    </w:p>
    <w:p>
      <w:r>
        <w:t>Per quanto riguarda il nesso di causalitànaturale,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w:t>
      </w:r>
    </w:p>
    <w:p>
      <w:r>
        <w:t>-  le circostanze concomitanti particolarmente drammatiche o la     particolare spettacolarità dell'infortunio;</w:t>
      </w:r>
    </w:p>
    <w:p>
      <w:r>
        <w:t>-  la gravità o particolare caratteristica delle lesioni lamentate;</w:t>
      </w:r>
    </w:p>
    <w:p>
      <w:r>
        <w:t>-  la specifica cura medica protratta e gravosa;</w:t>
      </w:r>
    </w:p>
    <w:p>
      <w:r>
        <w:t>-  i notevoli disturbi;</w:t>
      </w:r>
    </w:p>
    <w:p>
      <w:r>
        <w:t>-  la cura medica errata che aggrava notevolmente gli esiti dell'infortunio;</w:t>
      </w:r>
    </w:p>
    <w:p>
      <w:r>
        <w:t>-  il decorso sfavorevole della cura e le complicazioni rilevanti       intervenute;</w:t>
      </w:r>
    </w:p>
    <w:p>
      <w:r>
        <w:t>-  la rilevante incapacità lavorativa malgrado la dimostrazione                degli sforzi compiuti.</w:t>
      </w:r>
    </w:p>
    <w:p>
      <w:r>
        <w:t>Nonostante ciò che precede, la giurisprudenza citata al considerando 2.6.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w:t>
      </w:r>
    </w:p>
    <w:p>
      <w:r>
        <w:t>2.9.   La più recente giurisprudenza federale applica la prassi relativa allevoluzione psichica abnorme conseguente a infortunio nei casi in cui lesistenza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escludea priorilesistenza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w:t>
      </w:r>
    </w:p>
    <w:p>
      <w:r>
        <w:t>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w:t>
      </w:r>
    </w:p>
    <w:p>
      <w:r>
        <w:t>In una sentenza 8C_291/2012 dell11 giugno 2012, la Massima Istanza ha deciso in questo stesso modo, a proposito di una fattispecie in cui i disturbi lamentati dallassicuratoallarto inferiore sinistro, riferibili secondo gli specialisti a un dolore neuropatico provocato dallinfortunio, non avevano potuto essere oggettivati né neurologicamente né mediante esami strumentali per immagini.</w:t>
      </w:r>
    </w:p>
    <w:p>
      <w:r>
        <w:t>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w:t>
      </w:r>
    </w:p>
    <w:p>
      <w:r>
        <w:t>2.10.   Nella presente fattispecie, con la decisione su opposizione impugnata, listituto assicuratore resistente sostiene che i disturbi denunciati da RI 1 non correlerebbero con un danno alla salute oggettivabile di origine traumatica.Di conseguenza, lCO 1 ha proceduto a un esame particolare delladeguatezza del nesso causale, giungendo alla conclusione che essa non è data (cfr. doc. 192, p. 6 e p. 7 s.).</w:t>
      </w:r>
    </w:p>
    <w:p>
      <w:r>
        <w:t>Questa Corte constata che sulla questione dellesistenza di un danno organico oggettivabile di eziologia infortunistica a cui correlare la sintomatologia presentata dallassicurato, la documentazione specialistica agli atti non appare univoca.</w:t>
      </w:r>
    </w:p>
    <w:p>
      <w:r>
        <w:t>In effetti, da una parte, con referto del 26 novembre 2018, la dott.ssa __________, spec. FMH in neurologia, presso la quale lassicurato è stato in cura sin dal luglio 2016 (cfr. doc. 30  fasc. 2), ha dichiarato che il ricorrente è portatore di una anomalia della giunzione cranio-cervicale con parziale assimilazione atlanto-occipitale, invaginazione basilare, platibasia e discesa delle tonsille nellambito della sindrome di Arnold-Chiari. Al riguardo, ella ha ritenuto ben possibile che lanomalia in questione si sia  scompensata dopo due traumi distorsivi cranio-cervicali che il paziente ha subito sul posto di lavoro. La sintomatologia clinica riferita dal paziente con vertigini accentuate in posizione supina, cefalea, acufene, oscillopsia, difficoltà nella deglutizione e instabilità alla marcia è del tutto congrua con questa sindrome e attualmente i disturbi sono tali da limitare anche il riposo notturno.. La neurologa curante ha quindi disposto un consulto specialistico presso il dott. __________, spec. in neurochirurgia spinale, della giunzione cranio-vertebrale e della base del cranio, già medico aggiunto presso il __________ di __________ (doc. 97  fasc. 3).</w:t>
      </w:r>
    </w:p>
    <w:p>
      <w:r>
        <w:t>Per quanto qui dinteresse, a margine della consultazione del 25 gennaio 2019, il dott. __________ ha sostenuto che linsorgente presenta uno scompenso post-traumatico (imputabile alle cadute del 2016 e 2017) di unanomalia anatomica interessante la giunzione cranio-cervicale e che non vi sono dubbi circa il fatto che i disturbi denunciati siano legati a questa problematica, malgrado lassenza di unevidente netta compressione (doc. 118, p. 3 s. fasc. 3; dello stesso autore si veda pure la certificazione del 5 luglio 2019  doc. 197, p. 76  fasc. 1).</w:t>
      </w:r>
    </w:p>
    <w:p>
      <w:r>
        <w:t>Allinserto figura pure il referto 12 febbraio 2018 del dott. __________, direttore del __________ sito nello Stato di __________, il quale, diagnosticata una malformazione Chiari I complessa (malformazione Chiari I + instabilità cranio-cerebrale), unassimilazione atlanto-occipitale, unerniazione tonsillare asimmetrica e uninvaginazione basilare, ha affermato segnatamente che, a suo avviso, il trauma riportato è stato determinante nellinnescare la conversione sintomatica della malformazione di Chiari I, con la precisazione che letà del ricorrente era già troppo avanzata per giustificare una conversione sintomatica spontanea, poiché essa tende a manifestarsi tra i 15 e i 45 anni (doc. 118, p. 23  fasc. 3).</w:t>
      </w:r>
    </w:p>
    <w:p>
      <w:r>
        <w:t>Nel rapporto di uscita del 30 agosto 2019, i sanitari della Clinica __________ di __________, struttura presso la quale linsorgente è rimasto degente dal 16 luglio al 14 agosto 2019, hanno posto, tra le altre, la diagnosi di disturboorganicodella personalità (ICD10: F07.0) (doc. AA, allegato al doc. III; in questo senso, si veda pure il doc. C, sempre allegato al doc. III). Da notare che, con referto del 20 dicembre 2018, la dott.ssa F. Aletti, spec. FMH in psichiatria e psicoterapia presso il Servizio psico-sociale di __________, aveva qualificato la problematica psichica lamentata da RI 1 di reattiva alla patologia neurologica organica alla base cranica (anomalia della giunzione cranio cervicale) scompensata dopo due traumi distorsivi cranio-cervicali subiti dal paziente. Questultimo riporta una sintomatologia caratterizzata da insonnia, ansia cronica fluttuante, scarsa cura di sé, ideazione prevalente sullincerto e complesso iter terapeutico derivante dalla sua condizione neurologica/neurochirurgica con conseguenti difficoltà relazionali sia intra che extra-familiari. Presenta anche difficoltà nella deglutizione, instabilità alla marcia, deficit mnestici, cefalea, acufenicompatibili con la condizione organica sopracitata. (allegato al doc. III  il corsivo è del redattore).</w:t>
      </w:r>
    </w:p>
    <w:p>
      <w:r>
        <w:t>Dallaltra, va segnatamente rilevato che, nel febbraio 2018, ha avuto luogo un consulto specialistico presso la Clinica di neurochirurgia dellOspedale universitario di __________. Dal relativo rapporto, datato 5 febbraio 2018, si evince che il dott. __________, Capoclinica, ha diagnosticato unimpressione basilare con platipasia, unassimilazione atlanto-occipitale e una ptosi tonsillare, precisando che la sintomatologia riferita è di difficile interpretazione, quantomeno atipica per quanto visibile agli esami neuroradiologici. (doc. 50, p. 2  fasc. 3).</w:t>
      </w:r>
    </w:p>
    <w:p>
      <w:r>
        <w:t>Con referto 24 aprile 2018, i sanitari del Centro interdisciplinare per le vertigini e di disturbi visivi neurologici dellOspedale universitario di __________, presso il quale lassicurato è stato sottoposto ad esame vestibolare, sono pervenuti alla conclusione che, considerati lanamnesi, lesame clinico e i reperti acquisiti nel frattempo, non era stato accertato alcun chiaro deficit vestibolare centrale o periferico, suscettibile di spiegare la sintomatologia denunciata (doc. 62, p. 2  fasc. 3).</w:t>
      </w:r>
    </w:p>
    <w:p>
      <w:r>
        <w:t>Con apprezzamento del 14 gennaio 2019, il PD dott. T. Brandt, spec. FMH in neurologia presso il Centro __________ dellCO 1, ha sostenuto che il trauma cranico riportato nellagosto 2017, senza lesioni strutturali a livello cerebrale e della giunzione cranio-cervicale, corrisponde tuttal più a un trauma cranio-cerebrale lieve e, perciò, non è atto a spiegare vari disturbi aspecifici privi di correlato organico al di là dei sei mesi post-trauma. Sempre a suo avviso, lesistenza di un nesso causale tra linfortunio e la malformazione congenita di Arnold-Chiari I è da ritenere improbabile, e ciò anche dal profilo di un suo possibile aggravamento, senza la prova di una lesione (traumatica) del midollo spinale e del tronco encefalico inferiore a livello della giunzione cranio-cerebrale (cfr. doc. 106  fasc. 3).</w:t>
      </w:r>
    </w:p>
    <w:p>
      <w:r>
        <w:t>Con rapporto del 21 gennaio 2019, i dottori __________ e __________, Primario e Capoclinica di chirurgia vertebrale e ortopedia presso il Centro __________ di __________, hanno rilevato che la sintomatologia clinica del ricorrente è molto aspecifica e non è dunque riconducibile alle alterazioni evidenziate dalle immagini radiologiche. Inoltre, dalla TAC funzionale della cervicale del 21 agosto 2018 non sono emersi elementi a favore di uninstabilità, I sanitari in questione hanno finalmente ritenuto indicato sottoporre lassicurato a una nuova valutazione psicosomatica e psichiatrica (doc. 182  fasc. 3).</w:t>
      </w:r>
    </w:p>
    <w:p>
      <w:r>
        <w:t>Invitato dallamministrazione a prendere posizione sulle considerazioni espresse dal dott. __________, con apprezzamento del 26 settembre 2019, il dott. __________ ha osservato che dal rapporto del neurochirurgo appena citato non emerge la prova di un correlato pato-anatomico giustificante la complessa sintomatologia lamentata dallassicurato. Inoltre, la conclusione riguardante la necessità di un intervento neurochirurgico non è condivisibile a fronte di uno stato neurologico normale con assenza di segni clinici e radiologici a favore di una lesione del midollo spinale o di una mielopatia e si trova pure in contrasto con le raccomandazioni neurochirurgiche espresse dal dott. __________ (doc. 183  fasc. 3).</w:t>
      </w:r>
    </w:p>
    <w:p>
      <w:r>
        <w:t>In corso di causa, listituto resistente ha prodotto un apprezzamento neuro-psichiatrico elaborato dai dottori __________ e __________, questultimo spec. in psichiatria e psicoterapia presso il Centro __________. A loro avviso, in base a quanto risulta dal materiale iconografico a disposizione, con verosimiglianza preponderante non si è in presenza di lesioni oggettivabili a livello cerebrale o del midollo spinale cervicale, cosicché non è dimostrata lesistenza di conseguenze infortunistiche morfologiche. Di conseguenza, difetta un sostrato organico oggettivabile per la problematica psichica, come pure per i vari sintomi denunciati dallassicurato, quali le cefalee, le vertigini, il tinnitus, i problemi della deglutizione, le difficoltà alla marcia e i disturbi percettivi scatenati dai movimenti della testa. Non è peraltro dato un nesso causale perlomeno probabile tra il disturbo psichico scompensato con segni narcisistici e paranoici o altri disturbi della personalità e levento traumatico del 19 aprile 2016, rispettivamente del 15 agosto 2017 (allegato al doc. IX).</w:t>
      </w:r>
    </w:p>
    <w:p>
      <w:r>
        <w:t>2.11.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Nella DTF 135 V 465, lAlta Corte ha precisato che il giudice delle assicurazioni sociali può fondare la propria sentenza su rapporti allestiti da medici che si trovano alle dipendenze dellamministrazione,a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2.12.   Chiamato ora a pronunciarsi nel caso di specie, questo Tribunale non può, con sufficiente tranquillità, ritenere accertato con il grado di verosimiglianza richiesto dalla giurisprudenza federale che la complessa sintomatologia presentata da RI 1, non correli con un danno infortunisticooggettivabile.</w:t>
      </w:r>
    </w:p>
    <w:p>
      <w:r>
        <w:t>Infatti, come è già stato messo in evidenza al considerando 2.10., su questo aspetto agli atti figurano pareri specialistici - si veda in particolare quello del dott. __________, che risulta essere uno dei massimi esperti della malformazione di Arnold-Chiari, in base al quale i traumi subiti dal ricorrente avrebbero reso sintomatica unaffezione congenita (la malformazione di Arnold-Chiari) rimasta sino ad allora silente -, suscettibili di generare dei dubbi, perlomeno lievi, circa la correttezza delle valutazioni su cui lamministrazione ha finalmente fondato la propria posizione. In questo contesto, non può essere ignorato che i sintomi di cui soffre linsorgente sono largamente sovrapponibili a quelli provocati proprio dalla patologia in questione (su questo aspetto, si veda il sito web dellIstituto superiore di sanità italiano  www.issalute.it).</w:t>
      </w:r>
    </w:p>
    <w:p>
      <w:r>
        <w:t>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la STF 8C_247/2018 del 1° aprile 2019 consid. 6.2.2).</w:t>
      </w:r>
    </w:p>
    <w:p>
      <w:r>
        <w:t>2.13.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w:t>
      </w:r>
    </w:p>
    <w:p>
      <w:r>
        <w:t>Il TF ha, al riguardo, sviluppato le seguenti considerazioni:</w:t>
      </w:r>
    </w:p>
    <w:p>
      <w:r>
        <w:t>"().</w:t>
      </w:r>
    </w:p>
    <w:p>
      <w:r>
        <w:t>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376E. 4.2.3 S. 381). Dies schliesst ein, dass die erstinstanzlichen Gerichte diese Befugnis nicht ohne Not durch Rückweisung an die Verwaltung delegieren dürfen.</w:t>
      </w:r>
    </w:p>
    <w:p>
      <w:r>
        <w:t>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407E. 2.1.1 S. 411). In der hier massgebenden Verfahrenssituation schlägt diese Rechtfertigung für eine Rückweisung indessen nicht durch.</w:t>
      </w:r>
    </w:p>
    <w:p>
      <w:r>
        <w:t>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w:t>
      </w:r>
    </w:p>
    <w:p>
      <w:r>
        <w:t>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9C_85/2009).(DTF 137 V 263-265)</w:t>
      </w:r>
    </w:p>
    <w:p>
      <w:r>
        <w:t>In una sentenza 8C_59/2011 del 10 agosto 2011 - dunquesuccessivaa quella pubblicata in DTF 137 V 210 -, emanata in materia di assicurazione contro gli infortuni, il Tribunale federale ha ribadito i principi sviluppati nella DTF 135 V 465, in particolare che, in presenza di dubbi circa laffidabilità di rapporti allestiti damedici di fiducia, il giudice (cantonale) è libero di scegliere se ordinare direttamente una perizia giudiziaria oppure rinviare gli atti allamministrazione affinché disponga essa stessa una perizia seguendo la procedura di cui allart. 44 LPGA:</w:t>
      </w:r>
    </w:p>
    <w:p>
      <w:r>
        <w:t>"Um solche Zweifel auszuräumen, wird das Gericht entweder ein Gerichtsgutachten anzuordnen oder die Sache an den Versicherungsträger zurückzuweisen haben, damit dieser im Verfahren nach Art. 44 ATSG eine Begutachtung veranlasst (BGE 135 V 465 E. 4.6 S. 471).(STF 8C_59/2011, consid. 5.2)</w:t>
      </w:r>
    </w:p>
    <w:p>
      <w:r>
        <w:t>In una recente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w:t>
      </w:r>
    </w:p>
    <w:p>
      <w:r>
        <w:t>Nella presente fattispecie, il TCA ritiene che siano soddisfatti i presupposti per un rinvio degli atti allistituto assicuratore, già per il fatto che esso ha fondato la decisione impugnata essenzialmente sui pareri dei propri medici fiduciari e, in ogni caso, non su una perizia amministrativa ex art. 44 LPGA (per un caso analogo, si veda la STF 8C_757/2014 del 16 gennaio 2015 consid. 3.2).</w:t>
      </w:r>
    </w:p>
    <w:p>
      <w:r>
        <w:t>Per le ragioni già esposte al considerando2.12., si giustifica pertanto lannullamento della decisione su opposizione impugnata e il rinvio degli atti allassicuratore resistente affinché ordini una perizia pluridisciplinare esterna (art. 44 LPGA) volta principalmente a stabilire sela sintomatologia lamentata dallassicurato correla, o meno, con un danno organico oggettivabile e, nellaffermativa, se questultimo costituisce una conseguenza naturale di uno e/o dellaltro degli infortuni da lui subiti. Sulla scorta delle relative risultanze, lCO 1 sarà poi chiamato a definire di nuovo il proprio obbligo a prestazioni.</w:t>
      </w:r>
    </w:p>
    <w:p>
      <w:r>
        <w:t>Vista la particolarità del caso, questa Corte invita lassicuratore resistente a conferire il mandato peritale a degli specialisti di alto livello.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