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35.2019.10 vom 13. Mai 2019</w:t>
      </w:r>
    </w:p>
    <w:p>
      <w:r>
        <w:t>TI Tribunale d'appello, 2019-05-13, IT</w:t>
      </w:r>
    </w:p>
    <w:p>
      <w:r>
        <w:rPr>
          <w:b/>
        </w:rPr>
        <w:t xml:space="preserve">Quelle: </w:t>
      </w:r>
      <w:r>
        <w:t>https://mcp.opencaselaw.ch/entscheid/ti_gerichte_35.2019.10</w:t>
      </w:r>
    </w:p>
    <w:p>
      <w:r>
        <w:t>FR: TI_GERICHTE 35.2019.10 du 13 mai 2019</w:t>
      </w:r>
    </w:p>
    <w:p>
      <w:r>
        <w:t>IT: TI_GERICHTE 35.2019.10 del 13 maggio 2019</w:t>
      </w:r>
    </w:p>
    <w:p>
      <w:pPr>
        <w:pStyle w:val="Heading2"/>
      </w:pPr>
      <w:r>
        <w:t>Erwägungen</w:t>
      </w:r>
    </w:p>
    <w:p>
      <w:r>
        <w:rPr>
          <w:b/>
        </w:rPr>
        <w:t>E. 4</w:t>
      </w:r>
    </w:p>
    <w:p>
      <w:r>
        <w:t>maggio 2009 consid. 4.1 - riguardante un motociclista che si era visto tagliare la strada da un’autovettura che stava per svoltare a sinistra, riportando una frattura trasversale del femore -, il TF ha ricordato di avere regolarmente qualificato di grado medio in senso stretto, eventi infortunistici con dinamiche analoghe a quella del caso oggetto di quella pronunzia. In particolare, ha ritenuto di grado medio (senza essere classificato al limite della categoria degli eventi gravi) l’infortunio occorso a un assicurato che, mentre circolava con la propria motocicletta su una strada principale in condizioni di forte pioggia, entrò in collisione frontale a una velocità di 60-70 km/h con un’autovettura che gli aveva tagliato la strada; la violenza della collisione fu tale che l’assicurato, in stato di elevata dispnea, fu intubato sul luogo dell’incidente ed elitrasportato all’ospedale (STF U 78/07 del 17 marzo 2008 consid. 5). Pure di grado medio, e non al limite della categoria degli eventi gravi, è stato considerato l’infortunio occorso a un motociclista che stava utilizzando, a una velocità di circa 50 km/h, la corsia riservata ai mezzi pubblici per superare dalla parte sinistra una colonna di veicoli fermi, quando un’autovettura uscì improvvisamente dalla colonna, provocando il tamponamento da parte del centauro, il quale si procurò due fratture al femore destro (STFA U 115/05 del 14 settembre 2005 consid. 2.4.). Dello stesso grado di gravità (medio e non al limite della categoria degli eventi gravi) è stato ritenuto l’infortunio occorso a un’assicurata la cui moto si scontrò con un camion, si incastrò sotto il paraurti anteriore dell’automezzo e fu spinta, con l’assicurata ancora in sella, per circa 9.3 metri. L’assicurata si procurò una lussazione all’anca, una frattura del bacino, un’abrasione alla gamba sinistra e varie contusioni (STFA U 88/01 del 24 dicembre 2002 consid. 3.3.2.). In una sentenza 35.2014.2 del 17 settembre 2014 il TCA ha  classificato tra gli eventi di grado medio al limite però della categoria dei casi gravi , il caso di un assicurato che, in sella al proprio motociclo, nel percorrere una curva verso destra, invadeva completamente la corsia opposta andando a collidere con l’autobus che viaggiava in senso opposto. Il Tribunale federale, in una sentenza 8C_746/2008 del 17 agosto 2009 consid. 5.1.2, ha giudicato allo stesso modo l’incidente della circolazione in cui un assicurato, in sella alla propria motocicletta, si era scontrato frontalmente con un’autovettura che circolava in senso opposto. In quella pronunzia, l’Alta Corte ha in particolare precisato che la classificazione fra gli infortuni di grado medio al limite di quelli gravi si giustificava soprattutto poiché, a differenza della collisione tra due automobili aventi circa la stessa massa, in caso di scontro frontale tra un’autovettura e una moto, quest’ultima assorbe la stragrande maggioranza della velocità d’impatto, con trasmissione al motociclista delle forze che ne derivano. Tutto ben considerato, secondo il TCA, l’infortunio sub judice va giudicato meno grave rispetto a quelli indicati nelle sentenze del TCA 35.2014.2 del 17 settembre 2014 e del TF 8C_746/2008 del 17 agosto 2009. A titolo di confronto, il TCA segnala pure la STCA 35.2015.59 del 4 febbraio 2016 (riguardante un assicurato che, alla guida della propria moto, scendeva da un passo di montagna; giunto poco prima di una galleria, nell’affrontare una curva piegante a destra, a causa di un’irregolarità del campo stradale, fuoriusciva sulla sinistra; percorreva una cinquantina di metri nel prato adiacente e terminava la sua corsa contro un dosso presente; veniva sbalzato qualche metro più avanti), la STCA 35.2016.109 del 22 maggio 2017 (riguardante un assicurato che circolava in sella alla sua motocicletta diretto verso sud ad una velocità dichiarata di 40-50 km/h, lo stesso portava regolarmente il casco di protezione; giunto all’altezza di un distributore di benzina sito alla sua destra, si trovava un autoveicolo, che circolava sulla corsia inversa, svoltare verso la sua sinistra diretto al distributore di benzina; l'assicurato frenava rovinando a terra collidendo in seguito con l’autovettura; la collisione è avvenuta tra la parte anteriore della motocicletta e la parte anteriore dell’autoveicolo), la STCA 35.2017.20 del 28 agosto 2017 (riguardante un assicurata che è stata investita da una motocicletta, ad una velocità dichiarata di 30/40 km/h mentre stava attraversando la strada sul passaggio pedonale), la STCA 35.2017.103 del 22 agosto 2018 (riguardante un assicurato che mentre stava percorrendo la strada cantonale alla guida del proprio ciclomotore è stato urtato da un veicolo, che gli tagliava la strada proveniente, da una strada secondaria), ove i sinistri in questione sono stati classificati tra gli infortuni di media gravità in senso stretto . Il TCA ha classificato nella categoria degli infortuni di media gravità in senso stretto anche l’incidente della circolazione nel quale un’assicurata, dopo essere stata investita sulle strisce pedonali, era stata trascinata per una decina di metri ed era rimasta incastrata sotto il veicolo, cosciente, per ca. 20 minuti in attesa di soccorsi (STCA 35.2017.32 del 17 agosto 2017 consid. 2.2.4). In tale eventualità, il giudice è tenuto a valutare le circostanze connesse con l’infortunio, secondo i criteri elaborati dal Tribunale federale e qui evocati al consid. 2.3.2. Per ammettere l’adeguatezza del nesso causale, è necessario che un fattore fosse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vanno considerati unicamente i disturbi di natura somatica che si trovano in una relazione di causalità, naturale e adeguata, con il sinistro assicurato (cfr. RAMI 1999 U 341 p. 409 e RAMI 1993 U 166, p. 94 consid. 2c e riferimenti). Sempre in questo contesto, va precisato che i disturbi che si impongono come somatici, ma che non possono però essere spiegati a sufficienza dal profilo organico , non devono essere presi in considerazione (cfr. STF 8C_1044/2010 del 12 maggio 2011 consid. 4.4.4: “Die als körperlich imponierenden organisch jedoch nicht hinreichend erklärbaren Beschwerden sind bei einer Prüfung der Adäquanz nach BGE 115 V 133 nicht in die Beurteilung einzubeziehen (Urteil 8C_825/2008 vom 9. April 2009 E. 4.6).“). A proposito dei criteri esposti al considerando 2.3.2 il TCA rileva quanto segue. Per quanto riguarda il criterio 1 (" le circostanze concomitanti particolarmente drammatiche o la particolare spettacolarità dell'infortunio "), sebbene in ogni infortunio di media gravità sia insita una certa spettacolarità, la quale non è tuttavia ancora sufficiente per ritenere adempiuto il criterio (consid. 3.5.1 non pubblicato della DTF 137 V 199), il sinistro qui in discussione, secondo il TCA, non si è svolto secondo circostanze concomitanti particolarmente drammatiche o spettacolari. Al riguardo, è utile precisare che, secondo la giurisprudenza, il criterio in questione è da valutare oggettivamente e non in base alle sensazioni soggettive, rispettivamente ai sentimenti di paura provati dalla persona assicurata. In ogni infortunio di media gravità è insita una certa spettacolarità, la quale non è tuttavia ancora sufficiente per ritenere adempiuto il criterio (consid. 3.5.1 non pubblicato della DTF 137 V 199). Occorre considerare la dinamica dell’infortunio in quanto tale e non il danno alla salute che ne è conseguito. Non si tiene conto del successivo processo di guarigione (cfr. STF 8C_738/2011 del 3 febbraio 2012 consid. 7.3.1). Del resto, l'Alta Corte federale è giunta alla medesima conclusione nei casi, citati in precedenza, di un’assicurata investita da un’automobile mentre attraversava le strisce pedonali (cfr. STF U 228/06 del 4 maggio 2007 consid. 3.5) rispettivamente di una motociclista che, dopo essere stata investita da un furgone, era finita sotto il frontale del mezzo e trascinata per circa 9.3 metri (STFA U 88/01 del 24 dicembre 2002). Per quanto riguarda il criterio 2 (" la gravità o particolare caratteristica delle lesioni lamentate, segnatamente la loro idoneità, secondo l'esperienza, a determinare disturbi psichici "), n ell’infortunio del 1° settembre 2010 l’assicurato ha riportato una " frattura sacrale destra, Frattura muro anteriore non dislocata cotile destro, Frattura ischio-pubica destra " (doc. 15) ed in seguito gli è stata diagnosticata pure una frattura diagonale fra III intermedio e III distale dell'osso scafoide ed una pseudoartrosi dell'osso scafoide, che è stata trattata chirurgicamente, con decorso complicato dall'insorgenza di un'embolia polmonare, a seguito della quale è stato anticoagulato per svariato tempo.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Del resto, i danni alla salute subiti dall'assicurato non costituiscono ancora delle lesioni organiche gravi o particolarmente idonee a provocare un'elaborazione psichica abnorme ai sensi della giurisprudenza ( in questo senso, si vedano la STF 8C_23/2014 del 26 marzo 2014 consid. 7, concernente una pseudoartrosi su frattura della clavicola a sinistra, un impingement sottoacromiale, un’artropatia acromio-claveare su sospetta lesione Tossy II, nonché una paresi del muscolo tricipite su sospetta lesione del plesso brachiale oppure lesione radicolare a sinistra; la 8C_991/2009 del 6 maggio 2010 consid. 7.3 a proposito di una frattura della vertebra D7 con residua deformazione a cuneo, la 8C_737/2008 del 29 maggio 2009 consid. 4.3 relativa a delle fratture del naso, del bacino, delle coste IV, V e X a destra e di un pneumotorace,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come pure la STFA U 260/01 del 28 marzo 2002 consid. 3c concernente una frattura da compressione delle vertebre D10 e D11, come pure una frattura della clavicola; si veda inoltre la STCA 35.2014.13 del 15 settembre 2014 consid. 2.9., riguardante un assicurato che aveva riportato un pneumotorace destro, delle fratture compressive dei corpi vertebrali da D8 a D10 con frattura non consolidata dell’apofisi trasversa di D8 e D9, nonché una microinstabilità anteriore della spalla sinistra, addebitabile a una lesione del bordo anterosuperiore del labbro glenoideo). Del resto, il TCA è giunto alla medesima conclusione anche nel caso di un assicurato che, in un incidente stradale in sella alla propria motocicletta, aveva riportato un politrauma con fratture delle vertebre Th5/6/7/8, frattura della VI costa a sinistra, frattura dello sterno, rottura pelvi renale a sinistra, ferita lacerocontusa mano e spalla destra, nonché plessopatia brachiale destra (cfr. la già citata STCA 35.2016.109 del 22 maggio 2017 consid. 2.2.4). Per quanto riguarda il criterio 3 (" la durata eccezionalmente lunga della cura medica "), questo Tribunale ritiene che non si possa parimenti pretendere che la cura medica dipendente dall'evento infortunistico sia stata eccezionalmente lunga. Dagli atti di causa emerge infatti che, dopo la prima degenza presso il Reparto di Ortopedia-Traumatologia dell’__________ del __________ (1° - 7 settembre 2010), nel corso della quale si è in particolare deciso per un trattamento conservativo delle fratture inizialmente riscontrate procedendo al ricovero per le cure del caso (cfr. doc. 15), - oltre alla pseudoartrosi dell'osso scafoide, che è stata trattata chirurgicamente il 28 aprile 2011 (cfr. doc. 61), l'embolia polmonare del 1° giugno 2011 (cfr. doc. 97), la revisione chirurgica palliativa di resezione della prima filiera del carpo destro del 16 febbraio 2016 (doc. 278) ed al successivo soggiorno riabilitativo alla __________ dal 6 al 20 aprile 2016 (doc. 294) - le cure prestate all’assicurato sono essenzialmente consistite in una terapia medicamentosa (soprattutto antalgica, antinfiammatoria, antidepressiva e anticoagulante), nell’esecuzione di fisioterapia e ergoterapia a livello ambulatoriale e in visite di controllo da parte del medico curante e di vari specialisti (in Ticino e in Svizzera interna). La valutazione della capacità funzionale (VCF) presso la Clinica __________ del 24 e 25 gennaio 2017, ordinata dall’amministrazione, ha avuto quale scopo principale l’accertamento della capacità lavorativa residua dell’insorgente (doc. 330) e come tale, non va considerata nell’ambito della valutazione dell’adeguatezza del nesso causale.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Il TCA, da parte sua, ne ha invece ammesso la realizzazione in una sentenza 35.2014.2 del 17 settembre 2014 consid. 2.12, riguardante un assicurato, vittima di un incidente della circolazione, le cui conseguenze avevano necessitato di ben dieci operazioni chirurgiche , l’ultima delle quali eseguita a distanza di sei anni e mezzo circa dall’evento traumatico. Per quanto riguarda il criterio 5 (" la cura medica errata che aggrava notevolmente gli esiti dell'infortunio ", dalle carte processuali non risulta neppure che l’insorgente sia rimasta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Anche il criterio 6 (" il decorso sfavorevole della cura e le complicazioni rilevanti intervenute "),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(4) dei " dolori somatici persistenti " e quello (7) del " grado e durata dell'incapacità lavorativa dovuta alle lesioni fisiche " ,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i disturbi psichici di cui soffre il ricorrente, non costituiscono una conseguenza adeguata dell’evento infortunistico occorsogli il 1° settembre 2010. Se ne deduce quindi che l’assicuratore resistente era legittimato a negare al riguardo la propria responsabilità. 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 La fattispecie deve pertanto essere valutata facendo astrazione dalla componente psichica che, per i motivi poc’anzi detti, non è di pertinenza dell'assicuratore resistente. 2.4. Condizioni di salute infortunistiche stabilizzate al 1° giugno 2018?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2.4.2.   Nel caso di specie, dovendo fare astrazione dai disturbi (psichici) di cui soffre l'insorgente per i motivi già detti (cfr. consid. 2.3.5), il TCA, attentamente vagliato l’insieme della documentazione medica agli atti (in particolare, il rapporto dell'8 luglio 2016 del dr. med. __________, doc. 306, come pure i rapporti medici del 21 ottobre 2016, relativo alla visita __________ di chiusura del caso del 13 ottobre 2016, doc. 315, e del 27 marzo 2018, relativo alla visita __________ di chiusura del caso del 16 marzo 2018, doc. 350, del dr. med. __________), non ha motivo di scostarsi da quanto deciso dall'CO 1, confermando la chiusura della pratica per quanto concerne i postumi dell'infortunio del 1° settembre 2010 a far tempo dal 1° giugno 2018. 2.5. Entità del grado dell’invalidità.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Nella concreta evenienza, l’assicuratore LAINF convenuto ha accordato all’assicurato una rendita d’invalidità del 12% a decorrere dal 1° giugno 2018, facendo essenzialmente capo, per quanto riguarda l’esigibilità lavorativa, alla valutazione del 16 marzo 2018 del dr. med. __________, spec. FMH in chirurgia ortopedica e traumatologia dell'apparato locomotore, - sulla base dell'EFL eseguita alla Clinica __________ (che ha comunque evidenziato un'amplificazione dei sintomi di grado elevato che potrebbe limitare la valutazione della funzionalità; cfr. doc. 330, pag. 7) - giusta il quale: " (…) Si conferma che l'attività di meccanico di automezzi pesanti non potrà più essere esigibile soprattutto per quanto riguarda la problematica al polso destro. Si rivaluta l'esigibilità anche in considera-zione dell'EFL eseguita presso la Clinica __________. Si redige quindi una nuova esigibilità al lavoro. Esigibilità del lavoro. Sollevare e portare: l'assicurato può sollevare e portare pesi molto leggeri fino a 5 kg fino all'altezza dei fianchi molto spesso, pesi leggeri spesso, pesi medi di rado, pesanti e molto pesanti mai. Può sollevare oltre l'altezza del petto pesi fino a 5 kg spesso utilizzando prevalentemente l'arto sinistro, pesi oltre i 5 kg mai. Maneggio di attrezzi: l'assicurato può maneggiare attrezzi leggeri e di precisione talvolta, medi di rado, pesanti e molto pesanti mai. La rotazione della mano è possibile di rado. Posizione e mobilità: lavori sopra la testa sono esigibili di rado; rotazione del busto, posizione seduta inclinata in avanti, posizione in piedi e inclinata in avanti possibili talvolta, posizione inginocchiata e con flessione delle ginocchia possibile talvolta. Posizione di lunga durata: l'assicurato è in grado di mantenere la posizione seduta spesso, la posizione in piedi talvolta, la posizione a libera scelta è possibile. Spostamento: l'assicurato è in grado di camminare per brevi tratti fino a 50 m molto spesso, oltre 50 m spesso, per lunghi tratti talvolta, su terreno accidentato di rado. È in grado di salire le scale talvolta, salire scale a pioli mai. L'uso delle due mani è possibile a condizione, la mano sinistra senza particolarità. Attività in equilibrio (copritetto ponteggi) non possibile. L'assicurato in un'attività leggera che rispetti l'esigibilità descritta è abile al 100% senza pause supplementari e con rendimento completo, qualora sia prevista un'attività manuale è da considerarsi una diminuzione del rendimento dell'ordine del 20%. " (cfr. doc. 350, pag. 8 e 9; n.d.r.: il corsivo è della redattrice) Giova qui ricordare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(di aiuto meccanico ).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D'altra parte, nè gli argomenti che il rappresentante legale dell'assicurato ha sollevato con la propria impugnativa (cfr. doc. I) nè la documentazione medica agli atti, sono atti a generare dei dubbi - neppure lievi - circa la fondatezza dell'approfondito parere espresso dal medico __________ con considerazioni puntuali e convincenti. Giova qui ricordare che il parere del patrocinatore dell'insorgente - che non è suffragato da alcun certificato medico-specialistico, neppure in sede ricorsuale e che ha pertanto il valore di una semplice dichiarazione di parte - non può essere condiviso dal TCA.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2.6.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2018 (data di stabilizzazione dello stato di salute infortunistico dell'assi-curato: 1° giugno 2018; doc. 315 e 350 e consid. 2.4). 2.7.   Per quanto concerne il reddito da valido, s econdo l’assicuratore infortuni resistente, senza il danno infortunistico, RI 1, avrebbe realizzato nel 2018 un guadagno annuo lordo di fr. 65'492.- determinato sulla base della TA1 2014, ramo 45-46 (comm. all'ingrosso, comm. e ripar. di autoveicoli), livello di qualifica 1, uomini, aggiornato al 2018, in quanto la ditta presso la quale lavorava era nel frattempo fallita e sarebbe stato pertanto licenziato indipendentemente dall'infortunio in questione . Il rappresentante dell'insorgente contesta anche il reddito da valido che va quantificato in almeno fr. 74'100.-. L'CO 1 non avrebbe dovuto modificare - in maniera irrita, abusiva e inaccettabile - rispetto alla decisione del 2013 il metodo di calcolo, considerando i dati statistici, dato che la circostanza che nel frattempo la ditta per cui lavorava è fallita è ininfluente ai fini del giudizio. Il TCA rileva innanzitutto che la decisione formale del 2013 è stata annullata - a fronte dell'opposizione inoltrata dal patrocinatore dell'assicurato - con la decisione del 2018 poi confermata con la decisione su opposizione, qui avversata. In siffatte circostanze, questa Corte non condivide la censura ricorsuale del rappresentante dell'insorgente (giusta la quale l'CO 1 avrebbe modificato in maniera irrita, abusiva e inaccettabile - rispetto alla decisione del 2013 il metodo di calcolo, considerando i dati statistici) e che viene, pertanto, respinta. D'altra parte, contrariamente a quanto ritenuto dal legale del ricorrente, l'CO 1 ha correttamente fatto capo ai dati statistici, in considerazione del fatto che nel frattempo la ditta è fallita (ciò che è peraltro incontestato). In effetti, giova qui ricordare che, secondo la giurisprudenza federale, se la persona assicurata era disoccupata al momento in cui le è occorso l’infortunio oppure se nel periodo sino all’inizio della rendita essa avrebbe perso il posto di lavoro anche senza l’infortunio (come nel caso di specie), il reddito da valido può essere desunto dai dati della rilevazione svizzera della struttura dei salari (RSS) (cfr., tra le tante, la STF 8C_728/2016 del 21 dicembre 2016 consid. 3.1 in fine e riferimento ivi citato; in questo senso, si veda pure L. Grisanti, Nuove regole per la valutazione dell’invalidità, in RtiD II-2006, p. 316; STCA 35.2016.93 del 5 aprile 2017, consid. 2.8). Questa Corte ritiene pertanto che l'applicazione dei dati statistici, decisa dall’amministrazione, debba essere confermata. Utilizzando i dati forniti dalla tabella RSS 2014 TA1, l’assicurato, svolgendo nel 2014 una professione che presuppone qualifiche inferiori (livello di qualifica 1) nel ramo 45-46 "comm. all'ingrosso, comm. e ripar. di autoveicoli", avrebbe potuto realizzare, in media, un salario mensile lordo pari a fr. 5'113.-. Riportando questo dato su 41.9 ore , esso ammonta a fr. 5'355.8675 mensili oppure a fr. 64'770.41 per l'intero anno (fr. 5'355.8675 x 12), ritenuto che la quota di tredicesima è già compresa (STFA U 274/98 del 18 febbraio 1999, consid. 3a). Dopo adeguamento all'indice dei salari nominali, si ottiene, per il 2018, un reddito annuo di fr. 65'492.00. Stante quanto precede questo TCA non condivide le critiche mosse dal rappresentante del ricorrente all'operato dell'Istituto assicuratore in merito alla determinazione del precitato importo . Il "reddito da valido" per il 2018 è, pertanto, fissato a fr. 65'492.00.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 dopo aver rilevato che la soluzione secondo la quale l’assicuratore è libero di scegliere l’uno o l’altro metodo non è soddisfacente ed avere sottolineato la difficoltà a stabilire un ordine di priorità posto che entrambi i metodi presentato dei vantaggi e degli svantaggi - ha formulato alcuni requisiti qualitativi, oltre all’edizione di almeno cinque schede DPL, volti a garantire la rappresentatività dei profili DPL e, dunque, dei dati salariali che ne risultano. In ossequio a tale giurisprudenza, l’assicuratore è tenuto a fornire indicazioni sul numero totale dei posti di lavoro entranti in linea di conto, così come sul salario più elevato, su quello più basso, nonché su quello medio del gruppo cui è fatto riferimento. In caso contrario, non è possibile fondarsi sulle DPL ma si deve far capo ai dati statistici salariali dell'ISS. In una sentenza 8C_790/2009 del 27 luglio 2010 consid. 4.3, il Tribunale federale ha ritenuto auspicabile che l’INSAI produca un estratto della banca dati DPL, nel caso in cui stabilisca il reddito da invalido in base ai dati statistici, e ciò per non alimentare il sospetto che esso si sia fondato su questi ultimi in funzione del risultato desiderato. Questa giurisprudenza è stata confermata anche recentemente dal TF, segnatamente in DTF 139 V 592 e nelle sentenze 8C_107/2014 del 24 luglio 2014 al consid. 4.2, 8C_448/2014 del 29 dicembre 2014 al consid. 5.2, 8C_215/2015 del 17 novembre 2015 al consid. 4.1, 4.3, 4.6, 8C_430/2014 del 21 dicembre 2015 al consid. 2.2, 4.3, 4.4, 4.5 e 4.6, e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2.9.   Nella presente fattispecie, l’amministrazione ha quantificato in fr. 67'724.53 il reddito da invalido, applicando la TA1 2014, media totale, livello di qualifica 1, uomini, aggiornato al 2018 e operando successivamente una decurtazione 15% a titolo di deduzione sociale " per tenere conto delle sue variabili professionali e personali " ex DTF 126 V 80, giungendo così all’importo di fr. 57'566.00 (cfr. doc. 384, p.7-9). Il TCA rileva innazitutto che la decisione formale del 2013 è stata annullata - a fronte dell'opposizione inoltrata dal patrocinatore dell'assicurato - con la decisione del 2018 poi confermata con la decisione su opposizione, qui avversata. In siffatte circostanze, questa Corte non condivide la censura ricorsuale del rappresentante dell'insorgente (giusta la quale l'CO 1 avrebbe modificato in maniera irrita, abusiva e inaccettabile - rispetto alla decisione del 2013 il metodo di calcolo, considerando i dati statistici, anziché l'importo di base di fr. 52'403 annui in applicazione del metodo DPL) e che viene, pertanto, respinta. Va constatato che nella decisione avversata l’assicuratore non ha fatto capo ai dati salariali risultanti dalle DPL, e ciò “per evitare un differente metodi di calcolo che mette a confronto dati nazionali con quelli regionali, tanto più che la giurisprudenza non permette in questo frangente il calcolo correttivo del gap salariale (parallelismo)”, posto che il reddito da valido è stato determinato in applicazione dei dati salariali statistici (cfr. doc. 362, pag. 1). Questo Tribunale condivide l’agire dell’amministrazione. Del resto, anche in una sentenza 8C_728/2016 del 21 dicembre 2016 consid. 4, l’Alta Corte ha stabilito il reddito da invalido facendo capo ai dati salariali statistici (in questo senso, si veda pure la STF 8C_9/2017 del 3 marzo 2017 consid. 4.2.1; cfr. anche la STCA 35.2017.87 del 6 dicembre 2017, consid. 2.9). Quindi, utilizzando i dati forniti dalla tabella TA1 2014, l’assicurato,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esso ammonta a fr. 5'537.76 mensili oppure a fr. 66'453.12 per l'intero anno (fr. 5'497.92 x 12). Dopo adeguamento all'indice dei salari nominali, si ottiene, per il 2018, un reddito annuo di fr. 67'724.53. Il "reddito da invalido" per il 2018 è, pertanto, fissato a fr. 67'724.53. 2.10.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In concreto l'CO 1 ha operato una decurtazione del 15% a titolo di deduzione sociale, per tenere conto delle variabili personali e professionali dell'assicurato, giungendo così all’importo di fr. 57'566.00 (cfr. doc. 384, p. 7-9). Il rappresentante del ricorrente osserva che la deduzione sociale del 15% operata dalla CO 1 è esigua e chiede che la stessa venga considerata almeno nella misura del 25% (10% per attività leggere; 5% per le lesioni somatiche agli arti sia inferiori sia superiori che comportano un generalizzato disagio in ambiente lavorativo; 5% per cambiamento della professione e conseguente adeguamento alla nuova realtà; 10% per i chiari limiti funzionali e la chiara incapacità lavorativa che presenta anche in attività estremamente leggere; 5-10% per la bassa scolarizzazione, l'origine straniera e il CV deficitario; cfr. doc. I, pag. 9).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in: Stauffer Hans-Ulrich/Cardinaux Basile, Bundesgesetz über die Invalidenversicherung (IVG), Commentario, 3 Ed., Zurigo 2014, ad art. 28a n. 100 e segg.). 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della RSS 2010 sono già considerate le carenti conoscenze linguistiche. Trattandosi di lavori ausiliari il fattore età non gioca imperativamente un effetto di riduzione sui salari (cfr. STF 8C_482/2016 del 15 settembre 2016, consid. 5.4.2). Nella STF 9 C_359/2014 del</w:t>
      </w:r>
    </w:p>
    <w:p>
      <w:r>
        <w:rPr>
          <w:b/>
        </w:rPr>
        <w:t>E. 5</w:t>
      </w:r>
    </w:p>
    <w:p>
      <w:r>
        <w:t>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 debitamente conto degli effetti legati alla menomazione infortunistica. Il "reddito da invalido" di fr. 67'724.53 (cfr. consid. 2.9.1), tenuto conto di una decurtazione sociale del 15%, ammonta dunque a fr. 57'565.85. Stante quanto precede questo TCA non condivide le critiche mosse dal rappresentante del ricorrente all'operato dell'Istituto assicuratore neppure in merito alla determinazione di detto importo . 2.11.   Il grado di invalidità del ricorrente (stabilito confrontando i fr. 57'565.85 annui al reddito che egli avrebbe potuto conseguire se non fosse intervenuto il danno alla salute infortunistico, e cioè fr. 65'492.00 annui) è del 12,10% arrotondato al 12% secondo la giurisprudenza di cui alla DTF 130 V 121 consid. 3.2. Visto che mediante la decisione su opposizione impugnata all’assicurato è stata riconosciuta una rendita di invalidità del 12% dal 1° giugno 2018 (ovvero dalla sospensione delle prestazioni di corta durata: cfr. doc. 353, 364 e 384) a tempo indeterminato, essa merita, per questo aspetto, di essere confermata. 2.12. Diritto a un'indennità per menomazione all’integrità? 2.12.1.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2.12.2.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da la loi sur l'assurance-accidents, Losanna 1992, p. 121). 2.12.3.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2.12.4.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2.12.5.   Nella concreta evenienza, dopo aver sentito il parere del 21 ottobre 2016 del dr. med. __________ (redatto dopo avere visitato personalmente l'assicurato ed averne eseguito l'esame obiettivo), giusta il quale " Per quanto riguarda la problematica al bacino, anca destra non si ravvede diritto all'IMI, questa viene considerata per la lesione (…) al polso. " (doc. 315, pag. 8), e dopo aver acquisito agli atti anche l'apprezzamento medico del 13 ottobre 2016 del precitato medico __________, giusta il quale " Siamo in presenza di un deficit funz8ionale al polos destor in seguito a resezione della filiera prossimale del carpo. Tale fattispecie viene comunemente indennizzata secondo le tabelle SUVA (tabella 5.2) con una percentuale tra il 10 e il 15%. Si ritiene pertanto di proporre il 15%. " (doc. 314), l'CO 1 ha riconosciuto all'assicurato, con la decisione del 26 luglio 2018 (doc. 364) - confermata, dopo aver preso atto del rapporto medico del 27 marzo 2018 del dr. med. __________ (che ribadiva la valutazione dell'IMI precedentemente effettuata; doc. 350, pag. 9), con la decisione su opposizione del 3 dicembre 2018 qui avversata (doc. 384) - un'IMI del 15%. Il patrocinatore del ricorrente contesta pure l'IMI che, tenuto conto anche delle affezioni psichiche in nesso causale naturale ed adeguato con l'infortunio in questione, non dovrebbe essere inferiore al 25%. Dovendo valutare la fattispecie facendo astrazione dalla componente psichica che non è di pertinenza dell'assicuratore resistente per i motivi già esposti al consid. 2.3.5, il TCA osserva che non ha motivo di scostarsi da quanto deciso dall'.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dalla dr. med. Alessandro De Ponti, specialista che vanta un’ampia esperienza in materia di medicina assicurativa e infortunistica. Tanto più che neppure il patrocinatore dell’assicurato è stato in grado di evidenziare motivi atti ad imporre al TCA di scostarsi dall’apprezzamento espresso dal medico di fiducia dell’assicuratore resistente. D'altra parte l a valutazione dello specialista interpellato dall'CO 1 non è stata smentita da certificati medico-specialistici neppure in sede ricorsuale ed il parere della rappresentante legale dell'assicurato ha il valore di una semplice dichiarazione di parte e non può quindi essere condivisa dal TCA. In conclusione, la decisione su opposizione impugnata merita tutela anche nella misura in cui all’insorgente è stata riconosciuta un'IMI del 15% per il danno permanente infortunistico. 2.13.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il TCA rinuncia all'assunzione di ulteriori prove. 2.14.   Sulla scorta delle considerazioni che precedono il gravame deve dunque essere respinto e la decisione su opposizione avversata confermata. 2.15.   L’assicurato chiede di essere posto al beneficio dell’assistenza giudiziaria con il gratuito patrocinio (doc. I, pag. 11).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Va rilevato che,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 2.16. Con l’emanazione del presente giudizio diviene priva di oggetto la domanda cautelare di assistenza giudiziaria (cfr. doc I, pag. 10).</w:t>
      </w:r>
    </w:p>
    <w:p>
      <w:r>
        <w:rPr>
          <w:b/>
        </w:rPr>
        <w:t>E. 24</w:t>
      </w:r>
    </w:p>
    <w:p>
      <w:r>
        <w:t>e 25 gennaio 2017, ordinata dallamministrazione, ha avuto quale scopo principale laccertamento della capacità lavorativa residua dellinsorgente (doc. 330) e come tale, non va considerata nellambito della valutazione delladeguatezza del nesso causale.Ora, conformemente alla giurisprudenza, provvedimenti diagnostici e semplici visite di controllo (cfr. STF 8C_327/2008 del 16 febbraio 2009 consid. 4.2), come pure la somministrazione di farmaci antidolorifici (cfr. STF8C_507/2010 del 18 ottobre 2010 consid. 5.3.4),non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STF8C_726/2010 del 19 novembre 2010 consid. 4.1.3 e 8C_655/2010 del 15 novembre 2010 consid. 4.2.4 e riferimenti).</w:t>
      </w:r>
    </w:p>
    <w:p>
      <w:r>
        <w:t>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concommotio cerebrie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delleesigenze decisamente più elevate. Il TCA, da parte sua, ne ha invece ammesso la realizzazione in una sentenza 35.2014.2 del 17 settembre 2014 consid. 2.12, riguardante un assicurato, vittima di un incidente della circolazione, le cui conseguenze avevano necessitato dibendieci operazioni chirurgiche, lultima delle quali eseguita a distanza di sei anni e mezzo circa dallevento traumatico.</w:t>
      </w:r>
    </w:p>
    <w:p>
      <w:r>
        <w:t>Del resto, secondo la giurisprudenza, questo criterio non può già essere considerato realizzato quando un determinato provvedimento medico non si rivela finalmente efficace (cfr. SVR 2009 UV 41 p. 142 consid. 5.6.1).Anche il criterio 6 ("il decorso sfavorevole della cura e le complicazioni rilevanti intervenute"),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(cfr.STF 8C_213/2011 del 7 giugno 2011 consid. 8.2.5e 8C_80/2009 del 5 giugno 2009 consid. 6.5 e riferimenti). In questo senso, il Tribunale federale ha negato la realizzazione di questo criterio anche nel caso di un decorso indiscutibilmente protratto (cfr. STF 8C_402/2011 del 10 febbraio 2012 consid. 5.4).</w:t>
      </w:r>
    </w:p>
    <w:p>
      <w:r>
        <w:t>Visto che l'obbligo a prestazioni dell'assicuratore LAINF va negato facendo difetto l'adeguatezza, questa Corte ritiene che la questione relativa allesistenza del nesso di causalità naturale tra linfortunio e il danno alla salute (psichico) possa restare insoluta (cfr., in proposito, SVR 3/2012 UV5 consid. 5.1 e giurisprudenza ivi citata).La fattispecie deve pertanto essere valutata facendo astrazione dalla componente psichica che, per i motivi pocanzi detti, non è di pertinenza dell'assicuratore resistente.</w:t>
      </w:r>
    </w:p>
    <w:p>
      <w:r>
        <w:t>2.8.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w:t>
      </w:r>
    </w:p>
    <w:p>
      <w:r>
        <w:t>In una sentenza 32.2007.165 del 7 aprile 2008 questa Corte, fondandosi sulla STF U 8/07 del 20 febbraio 2008, ha stabilito che ()quando il salario da valido conseguito in Ticino in una determinata professione è inferiore al salario medio nazionale in quella stessa professione, anche il reddito da invalido va ridotto nella medesima percentuale(al riguardo cfr.Grisanti, Nuove regole per la valutazione dellinvalidità., in: RtiD II-2006, p. 311 seg., in particolare p. 326-327) ().</w:t>
      </w:r>
    </w:p>
    <w:p>
      <w:r>
        <w:t>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w:t>
      </w:r>
    </w:p>
    <w:p>
      <w:r>
        <w:t>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w:t>
      </w:r>
    </w:p>
    <w:p>
      <w:r>
        <w:t>Questa giurisprudenza è stata confermata anche recentemente dal TF, segnatamente in DTF 141 V 1 consid. 5.</w:t>
      </w:r>
    </w:p>
    <w:p>
      <w:r>
        <w:t>Il TCA rileva innazitutto che la decisione formale del 2013 è stata annullata - a fronte dell'opposizione inoltrata dal patrocinatore dell'assicurato - con la decisione del 2018 poi confermata con la decisione su opposizione, qui avversata. In siffatte circostanze, questa Corte non condivide la censura ricorsuale del rappresentante dell'insorgente (giusta la quale l'CO 1 avrebbe modificato in maniera irrita, abusiva e inaccettabile - rispetto alla decisione del 2013 il metodo di calcolo, considerando i dati statistici, anziché l'importo di base di fr. 52'403 annui in applicazione del metodo DPL) e che viene, pertanto, respinta.</w:t>
      </w:r>
    </w:p>
    <w:p>
      <w:r>
        <w:t>Va constatato che nella decisione avversata lassicuratore non ha fatto capo ai dati salariali risultanti dalle DPL, e ciò per evitare un differente metodi di calcolo che mette a confronto dati nazionali con quelli regionali, tanto più che la giurisprudenza non permette in questo frangente il calcolo correttivo del gap salariale (parallelismo), posto che il reddito da valido è stato determinato in applicazione dei dati salariali statistici (cfr. doc. 362, pag. 1).</w:t>
      </w:r>
    </w:p>
    <w:p>
      <w:r>
        <w:t>In concreto l'CO 1 haoperato una decurtazione del 15% a titolo di deduzione sociale, per tenere conto delle variabili personali e professionali dell'assicurato,giungendo così allimporto di fr.57'566.00 (cfr. doc. 384, p. 7-9).</w:t>
      </w:r>
    </w:p>
    <w:p>
      <w:r>
        <w:t>Il rappresentante del ricorrente osserva che la deduzione sociale del 15% operata dalla CO 1 è esigua e chiede che la stessa venga considerata almeno nella misura del 25% (10% per attività leggere; 5% per le lesioni somatiche agli arti sia inferiori sia superiori che comportano un generalizzato disagio in ambiente lavorativo; 5% per cambiamento della professione e conseguente adeguamento alla nuova realtà; 10% per i chiari limiti funzionali e la chiara incapacità lavorativa che presenta anche in attività estremamente leggere; 5-10% per la bassa scolarizzazione, l'origine straniera e il CV deficitario; cfr. doc. I, pag. 9).Val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consid.3;Meyer Ulrich/Reichmuth Marco,in: Stauffer Hans-Ulrich/Cardinaux Basile, Bundesgesetz über die Invalidenversicherung (IVG), Commentario, 3 Ed., Zurigo 2014, ad art. 28a n. 100 e segg.).Vale comunque la pena di puntualizzare che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consid.8.3; in questo senso, si vedano pure la STF 8C_712/2012 del 30 novembre 2012 consid. 4.2.3, la STF 8C_361/2011 del 20 luglio 2011, la STF 8C_373/2008 del 28 agosto 2008 consid. 5.2.2.2 e la STF 8C_292/2009 del 10 giugno 2009 consid. 5.2.1).Va anche osservato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w:t>
      </w:r>
    </w:p>
    <w:p>
      <w:r>
        <w:t>Globalmente, e tenuto conto di tutte le circostanze del caso concreto come pure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tenutodebitamenteconto degli effetti legati alla menomazione infortunistica.</w:t>
      </w:r>
    </w:p>
    <w:p>
      <w:r>
        <w:t>Il "reddito da invalido" difr.67'724.53(cfr. consid. 2.9.1),tenuto conto di una decurtazione sociale del 15%, ammonta dunque a fr. 57'565.85.</w:t>
      </w:r>
    </w:p>
    <w:p>
      <w:r>
        <w:t>Stante quanto precedequesto TCA non condivide le critiche mosse dal rappresentante del ricorrente all'operato dell'Istituto assicuratore neppure in merito alla determinazione di detto importo.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