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35.2018.9 vom 23. April 2018</w:t>
      </w:r>
    </w:p>
    <w:p>
      <w:r>
        <w:t>TI Tribunale d'appello, 2018-04-23, IT</w:t>
      </w:r>
    </w:p>
    <w:p>
      <w:r>
        <w:rPr>
          <w:b/>
        </w:rPr>
        <w:t xml:space="preserve">Quelle: </w:t>
      </w:r>
      <w:r>
        <w:t>https://mcp.opencaselaw.ch/entscheid/ti_gerichte_35.2018.9</w:t>
      </w:r>
    </w:p>
    <w:p>
      <w:r>
        <w:t>FR: TI_GERICHTE 35.2018.9 du 23 avril 2018</w:t>
      </w:r>
    </w:p>
    <w:p>
      <w:r>
        <w:t>IT: TI_GERICHTE 35.2018.9 del 23 aprile 2018</w:t>
      </w:r>
    </w:p>
    <w:p>
      <w:pPr>
        <w:pStyle w:val="Heading2"/>
      </w:pPr>
      <w:r>
        <w:t>Regeste</w:t>
      </w:r>
    </w:p>
    <w:p>
      <w:r>
        <w:t>Corretto aver posto termine a prestazioni ben oltre il termine di 1anno indicato dalla giurisprudenza in caso di aggravamento transitorio di uno stato degenerativo preesistente (con riferimento a danni oggettivabili).quelli non oggettivabili non costituivano conseguenza adeguata del sinistro</w:t>
      </w:r>
    </w:p>
    <w:p>
      <w:pPr>
        <w:pStyle w:val="Heading2"/>
      </w:pPr>
      <w:r>
        <w:t>Erwägungen</w:t>
      </w:r>
    </w:p>
    <w:p>
      <w:r>
        <w:rPr>
          <w:b/>
        </w:rPr>
        <w:t>E. 22</w:t>
      </w:r>
    </w:p>
    <w:p>
      <w:r>
        <w:t>aprile 2016, ha evidenziato che “i disturbi riferiti oggi dal paziente e concernenti la colonna cervicale e il braccio sinistro, erano nel loro insieme già presenti in occasione della mia visita del 25.06.2013 ” (doc. 70, corsivo della redattrice). Secondo il dr. __________, l’infortunio in questione ha, dunque, transitoriamente aggravato il preesistente stato morboso con raggiungimento dello status quo sine vel ante, al più tardi al momento in cui l’CO 1 ha chiuso il caso, dunque a distanza di 19 mesi dall’evento medesimo (cfr. doc. 138 e 154). Il TCA constata che l’apprezzamento del dr. __________ è conforme alla giurisprudenza federale, secondo la quale un aggravamento post-traumatico (senza lesione strutturale associata) di uno stato degenerativo anteriore della colonna vertebrale, precedentemente asintomatico, cessa di produrre i propri effetti trascorsi dai sei ai nove mesi, al più tardi dopo un anno (cfr. SVR 2009 UV Nr. 1 p. 1; STF 8C_562/2010 del 3 agosto 2011 consid. 5.1, 8C_314/2011 del 12 luglio 2011 consid. 7.2.3, 8C_416/2010 del 29 novembre 2010 consid. 3.3 e 8C_679/2010 del 10 novembre 2010 consid. 3.3).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 s.). In concreto, dalla documentazione medica agli atti non emerge affatto che l’evento traumatico avrebbe modificato morfologicamente lo stato preesistente nel senso richiesto dall’Alta Corte (dalla RM del 26 settembre 2015 non sono state evidenziate alterazioni post-traumatiche, né compressioni radicolari, cfr. doc. 62, pag. 2). Ne consegue che l’infortunio in questione può avere tutt’al più aggravato transitoriamente il preesistente stato (morboso) del rachide . Pertanto, avendo l’CO 1 riconosciuto il proprio obbligo a prestazioni sino al mese di aprile 2017 , l’assicuratore convenuto ha ampiamente rispettato la giurisprudenza appena menzionata, avendo posto termine al versamento delle proprie prestazioni ben oltre il termine di dodici mesi dopo il sinistro. In queste condizioni, il TCA non può seguire l’opinione del medico curante (per il quale l’infortunio in parola avrebbe modificato le condizioni psico-fisiche dell’assicurato, “tuttora in maniera evidente”, cfr. doc. 149), in quanto contraria alla dottrina medica dominante (e alla giurisprudenza federale che l’ha recepita). In esito a tutto quanto precede,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al più tardi al momento in cui l’CO 1 ha dichiarato estinto il proprio obbligo a prestazioni (</w:t>
      </w:r>
    </w:p>
    <w:p>
      <w:r>
        <w:rPr>
          <w:b/>
        </w:rPr>
        <w:t>E. 24</w:t>
      </w:r>
    </w:p>
    <w:p>
      <w:r>
        <w:t>aprile 2017), RI 1 non presentava più danni organici oggettivabili in relazione causale naturale con l’infortunio occorsogli nel mese di settembre 2015. Questa Corte può dunque esimersi dal disporre ulteriori misure istruttorie, in particolare la richiesta audizione testimoniale del medico curante dell’interessato, dr. __________ (doc. VII),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2.8.   In concreto, dagli atti emerge che il ricorrente presenta pure una sintomatologia che non ha trovato sufficiente correlazione sul piano somatico , che i diversi specialisti intervenuti hanno unanimemente inquadrato in una sindrome somatoforme dolorosa, rispettivamente in una sindrome fibromialgica (cfr. al riguardo i doc. 44, 45, 70, 130, 138, 154). Ora, secondo la più recente giurisprudenza federale, i n assenza di un sufficiente sostrato organico oggettivabile, l’esame della causalità naturale viene momentaneamente sospeso, per procedere a un esame particolare dell’adeguatezza del nesso causale (cfr. DTF 135 V 465 consid. 5.1) . Nel caso concreto, si pone la questione di sapere se questo esame debba avvenire in base alla prassi sviluppata nella DTF 117 V 359 relativamente ai “colpi di frusta” e precisata nella DTF 134 V 109 oppure secondo i criteri applicabili in caso di evoluzione psichica abnorme conseguente a infortunio (DTF 115 V 133). L’Alta Corte ha già avuto modo di precisare che il disturbo da dolore cronico somatoforme non va considerato quale sintomo della distorsione cervicale riportata in occasione dell’infortunio, bensì quale danno alla salute indipendente (secondario), motivo per cui l’esame dell’adeguatezza deve essere fatto secondo i criteri applicabili in caso di evoluzione psichica abnorme conseguente a infortunio (STF U 444/05 del 6 novembre 2006 consid. 6.2 e riferimenti ivi menzionati; a proposito della fibromialgia, cfr. STF U 339/06 del 6 marzo 2007 consid. 4.2 e riferimenti ivi citati). In esito a quanto precede, e conformemente alla giurisprudenza federale appena citata, l'adeguatezza del legame di causalità deve essere valutata in applicazione della giurisprudenza sviluppata nella DTF 115 V 133. Del resto, questa soluzione si giustifica tanto più che dalle carte processuali non emerge che l’assicurato abbia mai manifestato, in maniera accresciuta, la sintomatologia caratteristica di un trauma cervicale del tipo "colpo di frusta". 2.9. Nel valutare l'adeguatezza del nesso causale, occorre avantutto procedere alla classificazione dell’infortunio accaduto al ricorrente. La dinamica dell’incidente stradale dell’8 settembre 2015 (tamponamento a catena tra tre automobili) si evince, in particolare, dal rapporto del 9 novembre 2015 della Polizia cantonale: " (…). Il protagonista __________ circolava su via __________ a __________ in direzione di __________ ad una velocità dichiarata di circa 15-20 km/h a causa del traffico. Giunto in prossimità dell’intersezione con via al Ticino, distoglieva lo sguardo dalla guida per alcuni secondi, non notando la presenza del veicolo della __________ regolarmente fermo in colonna. La collisione avveniva tra la parte anteriore del veicolo del __________ contro la parte posteriore del veicolo della __________. A seguito della collisione, il veicolo della __________ collideva a sua volta con la parte anteriore contro la parte posteriore del veicolo del RI 1, fermo anch’esso regolarmente in colonna.” (Doc. 18, pag. 3) Tale collisione è quindi avvenuta a bassa energia, come risulta dal rapporto “breve valutazione biomeccanica (triage)” di AGU Zürich del 21 marzo 2016, nel quale è stato constatato che la variazione di velocità (delta-v) dovuta alla collisione era al di sotto o appena inclusa nell’intervallo di 10-15 km/h. Con riferimento a tale parametro, è stato poi precisato che “per quanto concerne i disturbi non irrilevanti del rachide cervicale dovuti a collisioni da tergo, il limite di innocuità si raggiunge, nel caso normale, quando il veicolo urtato subisce una variazione di velocità (delta-v) pari a 10-15 km/h” (cfr. doc. 60). Chiamato ora a classificare tale sinistro, questo Tribunale ritiene che si tratti di un infortunio di grado medio al limite della categoria degli infortuni leggeri o insignificanti , conformemente a una consolidata prassi federale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il corsivo è della redattrice; si veda pure la STF 8C_252/2007 del 16 maggio 2008 consid. 6.2 e la STF 8C_812/2009 del 9 marzo 2010 consid. 5.2 e 5.3 ). 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In una sentenza 8C_897/2009 del 29 gennaio 2010 consid. 4.5, pubblicata in SVR 10/2010 UV Nr.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poi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 ). L’incidente della circolazione stradale del settembre 2015 non si è svolto secondo circostanze concomitanti particolarmente drammatiche o spettacolari (cfr. al riguardo la “breve valutazione biomeccanica (triage)” di AGU Zürich del 21 marzo 2016, doc. 60). In proposito, occorre evidenziare che nella DTF 129 V 323 = RAMI 2003 U 481 p. 203, il TFA nel caso di un incidente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(per una panoramica dei casi in cui l’Alta Corte ha ammesso, rispettivamente negato la realizzazione di tale criterio, si veda la STF 8C_398/2012 del 6 novembre 2012 consid. 6.1.1 e 6.1.2).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w:t>
      </w:r>
    </w:p>
    <w:p>
      <w:r>
        <w:rPr>
          <w:b/>
        </w:rPr>
        <w:t>E. 26</w:t>
      </w:r>
    </w:p>
    <w:p>
      <w:r>
        <w:t>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il TCA osserva innanzitutto che non risulta documentato che la posizione assunta dall’assicurato al momento dell’evento traumatico fosse particolare (cfr. “breve valutazione biomeccanica (triage)” di AGU Zürich del 21 marzo 2016, doc. 60 ). D’altra parte, accanto al trauma d’accelerazione cervicale, l’insorgente non ha riportato lesioni di rilievo. Infine, egli non ha presentato i disturbi rientranti nel quadro tipico consecutivo a un “colpo di frusta”, tanto è vero che l’assicurato non ha dovuto ricorrere all’intervento di un medico fino ad otto giorni dopo il trauma, allorquando si è recato dal medico di famiglia (cfr. doc. 154, pag. 5). Tutto ciò non consente di ritenere che RI 1 abbia riportato delle lesioni gravi o con caratteristiche particolari. Dalle carte processuali non risulta neppure che l'assicurato sia rimasto vittima di una cura medica errata e notevolmente aggravante gli esiti dell'evento traumatico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 nel caso di specie non evidenti -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Ora, tenuto conto che, per quanto concerne il rachide , l’insorgente ha raggiunto lo status quo sine vel ante, al più tardi , il 24 aprile 2017 (cfr. supra , consid. 2.8.) e che la restante sintomatologia denunciata dall’assicurato è risultata priva di sostrato organico oggettivabile, e r icordato che, trattandosi di valutare l’esistenza del nesso di causalità adeguata in applicazione della prassi in materia d’evoluzione psichica abnorme conseguente a infortunio, devono essere presi in considerazione unicamente i disturbi somatici in nesso di causalità con l’infortunio, che trovano inoltre sufficiente correlazione sul piano organico, nella concreta evenienza, non possono essere ritenuti soddisfatti tutti quei criteri di rilievo che contengono una componente temporale (durata eccezionalmente lunga della cura medica, i disturbi somatici persistenti, nonché il grado e la durata dell'incapacità lavorativa). Sulla scorta di quanto precede, si deve dunque concludere che i disturbi privi di sostrato organico oggettivabile (da inquadrare in una sindrome somatoforme dolorosa, rispettivamente in una sindrome fibromialgica) denunciati dal ricorrente dopo il 24 aprile 2017, non costituivano una conseguenza adeguata dell’evento infortunistico dell’8 settembre 2015. In conclusione, la decisione su opposizione impugnata, mediante la quale l’CO 1 ha dichiarato estinto dal 24 aprile 2017 il diritto alle prestazioni dipendente dall’infortunio del settembre 2015, deve essere confermata. 2.10.   Deve ancora essere verificato se il ricorrente può essere posto al beneficio dell’assistenza giudiziaria con il gratuito patrocinio dell’avv. RA 1 (cfr. doc. I).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 patrocinatore del ricorrente (alla luce anche della giurisprudenza federale illustrata ed applicata nella decisione su opposizione impugnata, secondo la quale un aggravamento post-traumatico (senza lesione strutturale associata) di uno stato degenerativo anteriore della colonna vertebrale, precedentemente asintomatico, cessa di produrre i propri effetti trascorsi dai sei ai nove mesi, al più tardi dopo un anno, cfr. doc. A), doveva apparire evidente che il rischio di perdere il processo era palesemente maggiore rispetto alle prospettive di un successo, ragione per la quale il requisito della probabilità di esito favorevole va giudicato inadempiuto (cfr. sentenza 35.2015.44 del 24 febbraio 2016, consid. 2.9). In simili condizioni, non essendo realizzato nel caso in esame uno dei tre presupposti cumulativi, la domanda di assistenza giudiziaria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