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35.2018.88 vom 10. Dezember 2018</w:t>
      </w:r>
    </w:p>
    <w:p>
      <w:r>
        <w:t>TI Tribunale d'appello, 2018-12-10, IT</w:t>
      </w:r>
    </w:p>
    <w:p>
      <w:r>
        <w:rPr>
          <w:b/>
        </w:rPr>
        <w:t xml:space="preserve">Quelle: </w:t>
      </w:r>
      <w:r>
        <w:t>https://mcp.opencaselaw.ch/entscheid/ti_gerichte_35.2018.88</w:t>
      </w:r>
    </w:p>
    <w:p>
      <w:r>
        <w:t>FR: TI_GERICHTE 35.2018.88 du 10 décembre 2018</w:t>
      </w:r>
    </w:p>
    <w:p>
      <w:r>
        <w:t>IT: TI_GERICHTE 35.2018.88 del 10 dicembre 2018</w:t>
      </w:r>
    </w:p>
    <w:p>
      <w:pPr>
        <w:pStyle w:val="Heading2"/>
      </w:pPr>
      <w:r>
        <w:t>Erwägungen</w:t>
      </w:r>
    </w:p>
    <w:p>
      <w:r>
        <w:rPr>
          <w:b/>
        </w:rPr>
        <w:t>E. 30</w:t>
      </w:r>
    </w:p>
    <w:p>
      <w:r>
        <w:t>novembre 2018, del chirurgo ortopedico dott. __________ (cfr. doc. X 1). Tale modo di procedere non può essere approvato dal TCA, in quanto incompatibile con il principio della parità delle armi tra le parti. Secondo l’art. 6 par. 1 CEDU, il principio della parità delle armi tra le parti è un elemento essenziale del diritto a un processo equo. Esso non è volto soltanto a salvaguardare l’uguaglianza formale delle parti nella procedura giudiziaria ma deve inoltre garantire un’uguaglianza delle possibilità per le parti di far valere i loro mezzi dinanzi al tribunale. L’art. 6 par. 1 CEDU non obbliga tuttavia i paesi firmatari della Convenzione a prevedere una totale uguaglianza delle armi tra le parti. La Convenzione esige però che una persona assicurata non sia posta in una condizione procedurale tale da non aver alcuna ragionevole possibilità di sottoporre la propria causa al tribunale senza essere sfavorita nei confronti delle altre parti alla procedura. In applicazione di questo principio la persona assicurata ha il diritto di presentare i propri mezzi di prova per mettere in dubbio l’attendibilità e la validità delle constatazioni del medico dell’assicurazione (cfr. STF 8C_444/2013 del 20 gennaio 2014 e i riferimenti ivi menzionati). Nel caso di specie, occorre innanzitutto rilevare che l’istituto resistente è entrato in possesso del complemento peritale 4 settembre 2018 del dott. __________ il 14 settembre 2018, unitamente all’atto di ricorso. Quindi, mediante la risposta di causa, l’assicuratore convenuto avrebbe dovuto pronunciarsi sulle censure sollevate con l’impugnativa e produrre i mezzi di prova a supporto delle proprie tesi (in questo senso, si veda l’art. 7 cpv. 1 Lptca: “L’autorità amministrativa deve formulare nell’atto di risposta tutte le sue eccezioni di ordine e o di merito, riservate quelle diversamente regolate a livello federale.”). Agendo invece come ha fatto nella presente fattispecie, ossia posticipando la presentazione della presa di posizione del proprio servizio medico fiduciario sul tema centrale della vertenza (l’eziologia dei disturbi insorti a livello di L2-L3), l’amministrazione ha di fatto limitato il diritto dell’assicurato di proporre nuovi mezzi di prova dopo la presentazione della risposta di causa previsto dall’art. 9 Lptca. Non è necessario pronunciarsi in questa occasione sulle conseguenze giuridiche di un simile agire, in quanto la decisione su opposizione impugnata deve comunque essere annullata per ragioni attinenti al merito della vertenza, così come verrà dimostrato qui di seguito (cfr. il consid. 2.9.). nel merito 2.3.   L’oggetto litigioso è circoscritto alla questione di sapere se l’CO 1 era legittimato a negare l’esistenza di un nesso di causalità naturale tra l’infortunio del 30 giugno 2014 e i disturbi oggetto dell’annuncio di ricaduta dell’11 settembre 2017, oppure no.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2.5.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2.6.   Dalla documentazione agli atti si evince che, a seguito dell’evento traumatico del 30 giugno 2014, responsabile dell’insorgenza di un’ernia discale L5-S1 (relativamente alla quale l’CO 1 ha ammesso la propria responsabilità), l’insorgente è stato sottoposto, il 4 maggio 2015, a un intervento di “stabilizzazione posteriore L5-S1 con viti transpeduncolari (…), fusione intersomatica L5-S1 con TLIF da sinistra (…), decompressione della radice L5 bilaterale e fusione postero-laterale bilaterale L5-S1.” (doc. 66). Nel corso del mese di luglio 2017, RI 1 ha consultato i sanitari del Servizio di neurochirurgia dell’Ospedale __________ di __________, a causa di una recrudescenza dei dolori in sede lombare con irradiazione verso le due gambe, i quali hanno disposto l’esecuzione di un’ENMG e di una TAC lombare “… per escludere una mobilizzazione delle viti, una pseudoartrosi o una degenerazione del segmento aggiuntivo…” (doc. 207). L’esame elettroneurografico è risultato nella norma, mentre quello elettromiografico ha evidenziato dei lievi segni di denervazione e reinnervazione cronica a livello di L5-S1 bilateralmente (doc. 211). La TCA lombare effettuata il 29 agosto 2017 ha mostrato l’assenza di segni per una mobilizzazione delle viti, con mezzi di osteosintesi in sede e, a livello di L5-S1 delle articolazioni faccettarie molto aperte con il sospetto di un arco posteriore praticamente mobile, donde l’indicazione a sottoporre l’assicurato a un’infiltrazione di prova delle articolazioni faccettarie L4-L5 e L5-S1 bilateralmente (doc. 214, p. 3 s.). Le infiltrazioni hanno avuto luogo il 31 ottobre 2017 (doc. 224), il 31 gennaio (doc. 237) e il 7 febbraio 2018 (doc. 239). Con rapporto dell’8 febbraio 2018, tenuto conto degli esiti dei test, gli specialisti del Servizio di neurochirurgia hanno concluso che il ricorrente soffre verosimilmente di una “… lieve instabilità aggiuntiva ai livelli adiacenti alla stabilizzazione in particolare L2-L3 che risponde ad una deafferentazione dei rami mediali delle faccette articolari.” (doc. 241). Interpellato dall’amministrazione in merito all’eziologia dei disturbi, il dott. __________, Capoclinica presso il Servizio di neurochirurgia, dopo aver precisato che l’intervento di termocoagulazione dei rami articolari mediali di L2-L3 bilaterale effettuato nel frattempo aveva consentito di confermare “… il sospetto di agosto scorso riguardo una instabilità ma a un livello superiore a quello della stabilizzazione ”, ha sostenuto che “non è possibile certificare se tale problematica sia insorta come complicanza (possibile) o contestualmente o indipendentemente dalla stabilizzazione ma sarà fondamentale vedere il risultato a medio-lungo termine.” (doc. 250 – il corsivo è del redattore). Con referto del 15 giugno 2018, la dott.ssa __________, Capoclinica presso il Centro __________ dell’Ospedale __________ di __________, ha fatto stato di una recrudescenza della sintomatologia “… sia a livello lombare alto e si associa a dolori al passaggio lombosacrale bilateralmente che si irradiano diffusamente con sensazioni parestetiche agli arti inferiori bilateralmente”, proponendo pertanto la ripetizione di un test articolare posteriore al fine di capire se vi è stata una denervazione solo parziale delle strutture, elemento che porrebbe le basi per una ripetizione della misura.” (doc. 254). Nel quadro della procedura di opposizione, l’assicurato ha versato agli atti un parere medico-legale del dott. __________, specialista in medicina legale e delle assicurazioni, il quale ha in particolare rilevato che “… l’incidente lesivo iniziale (30/06/2014) non fu conseguenza di una violenza traumatica localmente applicata dall’esterno su quel circoscritto segmento rachideo, ma bensì espressione innegabile di uno “sforzo” attuato con il busto marcatamente flesso sul bacino e quindi deve intendersi come un’azione di leva esercitata con la colonna vertebrale globalmente flessa e con espletamento di un’energia muscolare che in quel momento travalicava i normali atti delle mansioni abitualmente svolte dall’interessato. Appare pertanto di palese evidenza che, se in quel momento la leva era rappresentata dal rachide flesso, il relativo “fulcro” doveva ritenersi variabile (per posizione) a seconda della postura del soggetto e dell’intensità dello sforzo attuato. Non solo, ma se si pensa al successivo blocco chirurgico (due placche, quattro viti ed un cage) di L5-S1, appare più che lecito ritenere che il progressivo maggior carico statico e dinamico richiesto ai segmenti rachidei limitrofi abbia progressivamente esteso la sofferenza vertebro-radicolare a livello anche di L2-L3.” (doc. 260, p. 6 s.). Le considerazioni enunciate dal medico-legale sono state criticamente commentate dal dott. __________, spec. FMH in chirurgia ortopedica e traumatologia, il quale ne ha contestato la fondatezza “… in quanto dal rapporto ispettivo del 22.07.2014 l’assicurato nell’atto di spostare a mano una caldaia in ghisa, al momento in cui era stata sollevata da altre due persone, queste due non sono riuscite a trattenere il peso che è quindi andato a gravare completamente sulla schiena dell’assicurato. Non è assolutamente descritto se in quel momento la schiena fosse in posizione flessa oppure in posizione eretta, quanto descritto quindi dal dott. __________ è soltanto una illazione. I problemi che sembrano siano dovuti al tratto alto-lombare L1-L2 sono stati descritti soltanto nell’agosto 2017 ossia a distanza di 3 anni circa dall’infortunio. Dalle immagini di TAC e risonanza magnetica non è stato messo in evidenza alcun segno di origine post-traumatico. L’origine dei disturbi non è peraltro certa in quanto le infiltrazioni sia a livello basso-lombare che alto-lombare hanno dato soltanto un miglioramento positivo temporaneo. Nel rapporto stesso degli specialisti di neurochirurgia del 1 maggio 2018 si parla di un sospetto peraltro comparso soltanto nell’agosto 2017 di una instabilità a livello superiore di quello sottoposto a stabilizzazione. Gli stessi specialisti in neurochirurgia ritengono che non è possibile certificare se tale problematica sia insorta come complicanza possibile o contestualmente o indipendentemente dalla stabilizzazione.” (doc. 263, p. 3). Lo specialista privatamente consultato dall’assicurato ha così replicato al medico __________ dell’CO 1: " (…) Posto infatti che, a seguito dell’espulsione dell’ernia discale, l’Assicurato dovette essere sottoposto ad intervento chirurgico di stabilizzazione con applicazione di due barre e quattro viti con interposizione di cage fra L5 ed S1, il rachide lombare deve ora considerarsi bloccato nel suo tratto distale con conseguente fissità della cerniera lombo-sacrale, che è quella che consente i movimenti del busto sul bacino. Ovvio quindi che, a cagione di ciò, la successiva mobilizzazione del busto abbia avuto luogo, per quanto possibile, con fulcro a livello delle vertebre adiacenti, su cui ha esercitato un’azione innaturale e quindi impropria. Da qui pertanto la “lieve instabilità aggiuntiva ai livelli adiacenti alla stabilizzazione … (L2-L3)” in rapporto anche con la minima “retrolistesi L4-L5”. Tutti quadri di sofferenza clinicamente e strumentalmente dimostrati ad anni di distanza dall’evento, proprio in quanto gradualmente resisi manifesti in forma oggettivamente rilevabile con il trascorrere del tempo, prima essendo comprensibilmente prevalente quasi esclusivamente la sintomatologia soggettiva. E ciò spiega e giustifica in modo tanto semplice quanto inconfutabile il presente “gap cronologico” fra lesione iniziale e danno attuale, che ha suscitato perplessità nel sanitario della CO 1 inducendolo ingiustificatamente a negare il nesso di causalità fra i due fenomeni.” (doc. 271) In corso di causa, l’istituto assicuratore ha prodotto un apprezzamento, datato 30 novembre 2018, del dott. __________, spec. FMH in chirurgia ortopedica e traumatologia presso il Centro __________ di __________ (doc. X 1). Il medico fiduciario ha innanzitutto messo in dubbio che l’ernia discale L5-S1 sia stata causata (in senso stretto) dall’evento infortunistico assicurato. A suo avviso, si sarebbe infatti trattato di una discopatia preesistente al trauma, il quale avrebbe semplicemente scatenato la sintomatologia dolorosa con raggiungimento dello status quo sine trascorso “… un certo tempo di cura”. D’altro canto, egli ha parimenti sollevato dubbi circa l’indicazione a sottoporre il ricorrente al noto intervento di spondilodesi L5-S1, e ciò in ragione dell’esistenza di una “… discrepanza tra il reperto constatato tramite immagini, esaminazione fisica e le importanti lamentele dell’assicurato e le sue limitazioni funzionali.”. Inoltre, trattandosi specificatamente dell’aspetto oggetto della presente procedura ricorsuale, il dott. __________ ha sostenuto che non esisterebbe un nesso causale naturale, nemmeno indiretto, tra il reperto oggettivato a livello di L2-L3 e l’infortunio del 30 giugno 2014. In questo senso, in primo luogo, egli ha rilevato che a quel livello non sono state refertate “lesioni a carattere traumatico e in particolar modo non esiste nessun indizio (e questo anche dopo valutazione accurata degli esami per immagini iniziali da parte mia) di una qualsiasi lesione a carattere traumatico a livello L2-L3 (per esempio frattura della faccetta articolare, lesione legamentosa o muscolare).”. In secondo luogo, il fiduciario dell’amministrazione ha osservato che “la larga esperienza medica nel campo dei disturbi degenerativi lombari conclude comunque che la progressione della degenerazione dipende prima di tutto dalla progressione naturale della malattia degenerativa e non dal sovraccarico in conseguenza di un bloccaggio segmentare chirurgico.”.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2.8.   Nella concreta evenienza, questa Corte non può confermare la decisione dell’amministrazione che non ritiene dimostrata con un sufficiente grado di verosimiglianza l’esistenza di un legame causale naturale tra l’infortunio del 30 giugno 2014 e i disturbi oggetto dell’annuncio di ricaduta dell’11 settembre 2017. In effetti, in merito all’aspetto eziologico, agli atti di causa figurano referti specialistici contraddittori – da una parte quelli dei dottori __________ e __________, dall’altra quelli elaborati dal dott. __________ - che non consentono al TCA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senso, si veda pure la STF 8C_943/2010 del 9 novembre 2011 consid. 3.2). Il TCA rileva in particolare che dalla letteratura medica emerge che, in presenza di un’artrodesi intersomatica - in concreto, delle vertebre L5-S1 - le vertebre che si trovano al di sopra o al di sotto dell’artrodesi - nel caso di specie, si tratta di quelle superiori - sono soggette a uno stress meccanico addizionale con conseguente sviluppo di patologie. Ad esempio, uno studio di Cho, Kyu-Jung et al., “ Complications in posterior fusion and instrumentation for degenerative lumbar scoliosis ”, pubblicato in Spine: 15 settembre 2007 – volume 32 – p. 2232 ss., che ha coinvolto 47 pazienti affetti da scoliosi lombare degenerativa e, perciò, sottoposti ad artrodesi posteriore con strumentazione, dimostra in effetti che tale terapia è suscettibile di generare complicazioni tardive che consistono in patologie dei segmenti superiori o inferiori, pseudoartrosi e allentamento delle viti. In dieci pazienti sono insorte patologie del segmento prossimale, in 5 pazienti del segmento distale. Una pseudoartrosi al passaggio lombo-sacrale è invece stata osservata in 2 pazienti. Ciò avvalora la tesi del dott. __________ (doc. 260 e doc. 271), mentre relativizza quella sostenuta dal medico fiduciario dell’CO 1 (doc. X 1, p. 4). Sempre per quanto concerne l’apprezzamento espresso dal dott. __________ e, specificatamente, la sua affermazione secondo cui già l’ernia discale L5-S1 sarebbe stata di natura morbosa, semplicemente resa manifesta dal sinistro del giugno 2014 (cfr. doc. X 1, p. 3), il TCA constata che l’istituto assicuratore aveva al riguardo riconosciuto la propria responsabilità assicurativa fondandosi sul parere del chirurgo ortopedico dott. __________, il quale aveva ammesso senza riserve l’eziologia infortunistica, alla luce delle risultanze dell’esame di RMN lombare del 3 febbraio 2015 (doc. 40). Da notare che il riconoscimento dell’origine traumatica di un’ernia del disco risponde, per costante giurisprudenza, a criteri rigorosi (sul tema, si veda, fra le tante, la SVR 2009 UV 1 p. 1 consid. 2.3 e le RAMI 2000 U 378 p. 190 consid. 3 e U 379 p. 192 consid. 2a). Non vi è ragione di dubitare che il dott. __________, a suo tempo, ne abbia attentamente valutato l’adempimento nel caso concreto. Appare inoltre inconferente sostenere che il noto intervento di artrodesi non avrebbe in realtà risposto a una chiara indicazione medica (cfr. doc. X 1, p. 4). Determinante è piuttosto il fatto che l’CO 1 ne abbia assunto i costi (cfr. doc. 42), di modo che, qualora dovesse essere dimostrato che la problematica oggetto dell’annuncio di ricaduta del settembre 2017 costituisce una conseguenza naturale dell’operazione in questione, la sua responsabilità sarebbe data in virtù dell’art. 6 cpv. 3 LAINF. Il TCA non ignora che, con il referto del 1° maggio 2018, il neurochirurgo dott. __________ non è stato in grado di esprimersi in merito all’origine della diagnosticata instabilità L2-L3, egli ha però pure precisato che per fare ciò occorreva attendere il risultato a medio-lungo termine (cfr. doc. 250). Nella misura in cui egli ha di fatto rinviato il proprio giudizio definitivo circa l’aspetto eziologico, la sua certificazione in questione non risulta atta a supportare la posizione dell’assicuratore resistente. L’affermazione, contenuta nella decisione su opposizione impugnata, secondo la quale le valutazioni elaborate da medici stranieri sarebbero da considerare “… con riserva in quanto un apprezzamento espresso con piena cognizione di causa presuppone una certa familiarità con il diritto svizzero delle assicurazioni sociali. Le basi di valutazione all’estero sono spesso diverse da quelle conosciute in Svizzera …” (doc. 264, p. 4), non si attaglia al caso di specie in cui si tratta di valutare se il danno alla salute di cui soffre RI 1 è riconducibile o meno all’infortunio assicurato, questione di natura squisitamente medico-scientifica che non presuppone necessariamente la conoscenza dei principi del diritto assicurativo svizzero. Del resto, l’opinione dell’amministrazione trova il proprio fondamento in una vecchia giurisprudenza federale, la quale è stata modificata già nell’anno 2006 (sul tema, cfr. D. Cattaneo, Le perizie nelle assicurazioni sociali, in Atti della giornata di studio del 29 maggio 2006, CFPG fascicolo 39, p. 236, con riferimento alla STFA I 414/05 del 18 dicembre 2006; si vedano pure le STAF C4930/2014 del 12 febbraio 2015 e C7023/2017 del 4 luglio 2018, citate dal rappresentante dell’assicurato). D’altra parte, il dott. __________ ha precisato che la specializzazione in ostetricia e ginecologia, conseguita in un lontano passato, viene ormai da lui utilizzata “a soli scopi forensi” (cfr. doc. A 5, p. 2). Va inoltre considerato che, quale ex Primario dell’Unità operativa di medicina legale dell’Ospedale di __________ (della quale ne è pure stato il fondatore) nonché professore a contratto presso l’Università __________ di __________ (il suo curriculum vitae è consultabile on line ), lo specialista privatamente interpellato dall’assicurato gode di sufficienti qualifiche affinché il suo parere sia atto a generare dei dubbi, perlomeno lievi, a proposito della fondatezza della valutazione enunciata dai medici dell’assicurazione.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parere dei propri medici fiduciari (per un caso analogo, si veda la STF 8C_757/2014 del 16 gennaio 2015 consid. 3.2). P er le ragioni già esposte al considerando 2.7. , si giustifica pertanto l’annullamento della decisione su opposizione impugnata e il rinvio degli atti all’assicuratore resistente affinché disponga un approfondimento peritale esterno (art. 44 LPGA) volto a definire se i disturbi oggetto dell’annuncio di ricaduta dell’11 settembre 2017 costituiscono una conseguenza naturale, diretta oppure indiretta, dell’evento infortunistico accaduto nel giugno 2014 . Sulla scorta delle relative risultanze, l’CO 1 emetterà una nuova decisione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