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35.2018.62 vom 14. August 2017</w:t>
      </w:r>
    </w:p>
    <w:p>
      <w:r>
        <w:t>TI Tribunale d'appello, 2017-08-14, IT</w:t>
      </w:r>
    </w:p>
    <w:p>
      <w:r>
        <w:rPr>
          <w:b/>
        </w:rPr>
        <w:t xml:space="preserve">Quelle: </w:t>
      </w:r>
      <w:r>
        <w:t>https://mcp.opencaselaw.ch/entscheid/ti_gerichte_35.2018.62_d20170814</w:t>
      </w:r>
    </w:p>
    <w:p>
      <w:r>
        <w:t>FR: TI_GERICHTE 35.2018.62 du 14 août 2017</w:t>
      </w:r>
    </w:p>
    <w:p>
      <w:r>
        <w:t>IT: TI_GERICHTE 35.2018.62 del 14 agosto 2017</w:t>
      </w:r>
    </w:p>
    <w:p>
      <w:pPr>
        <w:pStyle w:val="Heading2"/>
      </w:pPr>
      <w:r>
        <w:t>Regeste</w:t>
      </w:r>
    </w:p>
    <w:p>
      <w:r>
        <w:t>Corretta decisione con la quale assicuratore ha ritenuto stabilizzato lo stato di salute dell'interessata.Pure corrette l'entità della rendita di invalidità e dell'IMI</w:t>
      </w:r>
    </w:p>
    <w:p>
      <w:pPr>
        <w:pStyle w:val="Heading2"/>
      </w:pPr>
      <w:r>
        <w:t>Erwägungen</w:t>
      </w:r>
    </w:p>
    <w:p>
      <w:r>
        <w:rPr>
          <w:b/>
        </w:rPr>
        <w:t>E. 20</w:t>
      </w:r>
    </w:p>
    <w:p>
      <w:r>
        <w:t>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ancora di recente dal TF, segnatamente nella DTF 141 V 1 consid. 5. 2.3.7. Nel caso concreto, l’amministrazione, dopo avere evidenziato che il numero di DPL a disposizione fosse insufficiente per rappresentare adeguatamente il mercato equilibrato del lavoro, ha calcolato il reddito da invalido sulla base dei dati statistici. Applicando la tabella RSS 2014 TA 1, donne, livello di qualifica 1 (pari a fr. 54’658 dopo adeguamento all’indice dei salari nominali e aggiornato al 2017), e operando successivamente una riduzione del 43.87% per tener conto del gap salariale e del 15% a titolo di deduzione sociale, ha quantificato in fr. 26'078 il reddito da invalido (cfr. doc. 197, pag. 2). Dal raffronto tra il reddito da valido di fr. 29'856 e quello da invalido di fr. 26'078 l’CO 1 è giunto ad un grado di invalidità del 13%. Il TCA non ha motivo per distanziarsi dal calcolo dell’amministrazione, rimasto, del resto, incontestato in sede ricorsuale. 2.4. Entità della menomazione dell’integrità .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Ghélew/Ramelet/Ritter, Commentaire da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Nella presente fattispecie, l’CO 1, con decisione del 14 agosto 2017, ha posto l’assicurata al beneficio di un’IMI del 15% (cfr. doc. 142), basandosi sul relativo apprezzamento che il dr. __________ ha enunciato a margine della visita fiduciaria del 7 agosto 2017 (doc. 138). Solo con il ricorso del 9 luglio 2018, l’avv. RA 1 ha contestato l’ammontare dell’IMI riconosciuto all’assicurata, il quale, a suo parere, “neppure si attaglia a quanto riportato nell’allegato 3 dell’Oainf” (cfr. doc. I, pag. 4). Ora, il TCA non può che constatare che la decisione del 14 agosto 2017 sia cresciuta incontestata in giudicato. Comunque, a titolo abbondanziale, va rilevato che la valutazione dell’IMI effettuata dal dr. __________ appare corretta. Avendo, infatti, l’assicurata subito l’amputazione a livello del III prossimale della falange intermedia del 3, 4 e 5 dito della mano destra - ciò che, come indicato dal dr. __________, in base alla tabella 3.5, figura 38, dà luogo ad una percentuale di IMI del 15% (cfr. doc. 138) - e l’amputazione del polpastrello del 2 dito - circostanza che, secondo la tabella 3.5, figura 5, non permette di riconoscere un tasso di IMI - l’attribuzione di un’IMI del 15% non può che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