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35.2018.59 vom 13. Mai 2019</w:t>
      </w:r>
    </w:p>
    <w:p>
      <w:r>
        <w:t>TI Tribunale d'appello, 2019-05-13, IT</w:t>
      </w:r>
    </w:p>
    <w:p>
      <w:r>
        <w:rPr>
          <w:b/>
        </w:rPr>
        <w:t xml:space="preserve">Quelle: </w:t>
      </w:r>
      <w:r>
        <w:t>https://mcp.opencaselaw.ch/entscheid/ti_gerichte_35.2018.59_d20190513</w:t>
      </w:r>
    </w:p>
    <w:p>
      <w:r>
        <w:t>FR: TI_GERICHTE 35.2018.59 du 13 mai 2019</w:t>
      </w:r>
    </w:p>
    <w:p>
      <w:r>
        <w:t>IT: TI_GERICHTE 35.2018.59 del 13 maggio 2019</w:t>
      </w:r>
    </w:p>
    <w:p>
      <w:pPr>
        <w:pStyle w:val="Heading2"/>
      </w:pPr>
      <w:r>
        <w:t>Regeste</w:t>
      </w:r>
    </w:p>
    <w:p>
      <w:r>
        <w:t>Domanda di risarcimento danni in relazione alle terapie applicate nel caso concreto. Domanda respinta essendo inadempiuta la condizione dell'illiceità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dicembre 2001 consid. 3.3 e i riferimenti ivi menzionati). Nel diritto della responsabilità civile, i costi che la vittima sopporta per la consultazione di un avvocatoprimadellapertura del processo civile, nella misura in cui questo passo sia necessario e adeguato, possono costituire una posta del danno, a condizione che essi non siano stati inclusi nelle ripetibili. Ciò vale anche per i costi risultanti da unaltra procedura, come per esempio una procedura penale. Se questa procedura permette dottenere delle ripetibili, non è più possibile far valere una pretesa di risarcimento dei costi di patrocinio nel quadro di unulteriore azione di responsabilità civile (DTF 4C.51/2000 del 7 agosto 2000 consid. 2 pubblicatoinSJ 2001 I 153; DTF 117 II 101 consid. 5; 112 Ib 353 consid. 3a).</w:t>
      </w:r>
    </w:p>
    <w:p>
      <w:r>
        <w:t>2.5.   La responsabilità ex art. 78 LPGA presuppone infine la dimostrazione dellesistenza di unnesso di causalità naturaleeadeguata.</w:t>
      </w:r>
    </w:p>
    <w:p>
      <w:r>
        <w:t>Il nesso di causalità adeguata è dato se, secondo il corso ordinario delle cose e lesperienza generale della vita, lagire illecito è atto a causare oppure a favorire il risultato che si è effettivamente prodotto (cfr. Kieser, ATSG-Kommentar, n. 30 ad art. 78).</w:t>
      </w:r>
    </w:p>
    <w:p>
      <w:r>
        <w:t>La relativa giurisprudenza non è oltremodo rigida. Non è richiesta una prova rigorosa ma è sufficiente che il tribunale maturi la convinzione che un determinato andamento dei fatti simpone con verosimiglianza preponderante (cfr. Kieser, Haftung  (op. cit.), p. 120).</w:t>
      </w:r>
    </w:p>
    <w:p>
      <w:r>
        <w:t>Il nesso di causalità adeguata può essere escluso, ovvero interrotto, quando unaltra causa concomitante - la forza maggiore, la colpa di un terzo oppure la colpa della vittima - costituisce una circostanza assolutamente eccezionale o appare straordinaria al punto tale da non essere prevedibile. Di per sé, limprevedibilità dellatto concomitante non è sufficiente per interrompere il rapporto di causalità adeguata. È inoltre necessario che questo atto abbia unimportanza tale da imporsi quale causa più probabile e più immediata dellevento considerato, relegando in secondo piano tutti gli altri fattori che hanno contribuito a produrlo, in particolare il comportamento dellautore (DTF 133 V 14 consid. 10.2 e riferimenti ivi citati).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