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35.2018.33 vom 18. Juli 2018</w:t>
      </w:r>
    </w:p>
    <w:p>
      <w:r>
        <w:t>TI Tribunale d'appello, 2018-07-18, IT</w:t>
      </w:r>
    </w:p>
    <w:p>
      <w:r>
        <w:rPr>
          <w:b/>
        </w:rPr>
        <w:t xml:space="preserve">Quelle: </w:t>
      </w:r>
      <w:r>
        <w:t>https://mcp.opencaselaw.ch/entscheid/ti_gerichte_35.2018.33</w:t>
      </w:r>
    </w:p>
    <w:p>
      <w:r>
        <w:t>FR: TI_GERICHTE 35.2018.33 du 18 juillet 2018</w:t>
      </w:r>
    </w:p>
    <w:p>
      <w:r>
        <w:t>IT: TI_GERICHTE 35.2018.33 del 18 luglio 2018</w:t>
      </w:r>
    </w:p>
    <w:p>
      <w:pPr>
        <w:pStyle w:val="Heading2"/>
      </w:pPr>
      <w:r>
        <w:t>Regeste</w:t>
      </w:r>
    </w:p>
    <w:p>
      <w:r>
        <w:t>L'istituto assicuratore avrebbe quantomeno dovuto sottoporre il certificato medico A.ta al vaglio dei due medici fiduciari che si erano occupati del caso (e che erano giunti a conclusioni divergenti dal profilo tmeporale sul raggiungimento dello status quo sine)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Nel merito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