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35.2018.19 vom 20. August 2018</w:t>
      </w:r>
    </w:p>
    <w:p>
      <w:r>
        <w:t>TI Tribunale d'appello, 2018-08-20, IT</w:t>
      </w:r>
    </w:p>
    <w:p>
      <w:r>
        <w:rPr>
          <w:b/>
        </w:rPr>
        <w:t xml:space="preserve">Quelle: </w:t>
      </w:r>
      <w:r>
        <w:t>https://mcp.opencaselaw.ch/entscheid/ti_gerichte_35.2018.19</w:t>
      </w:r>
    </w:p>
    <w:p>
      <w:r>
        <w:t>FR: TI_GERICHTE 35.2018.19 du 20 août 2018</w:t>
      </w:r>
    </w:p>
    <w:p>
      <w:r>
        <w:t>IT: TI_GERICHTE 35.2018.19 del 20 agosto 2018</w:t>
      </w:r>
    </w:p>
    <w:p>
      <w:pPr>
        <w:pStyle w:val="Heading2"/>
      </w:pPr>
      <w:r>
        <w:t>Regeste</w:t>
      </w:r>
    </w:p>
    <w:p>
      <w:r>
        <w:t>Condono. Contrariamente a quanto considerato dall'amministrazione, il TCA reputa adempiuto il requisito della buona fede. Rinvio atti all'assicuratore per valutare adempimento o meno dell'altro requisito cumulativo necessario per il condono, ossia quello della "grave difficoltà"</w:t>
      </w:r>
    </w:p>
    <w:p>
      <w:pPr>
        <w:pStyle w:val="Heading2"/>
      </w:pPr>
      <w:r>
        <w:t>Erwägungen</w:t>
      </w:r>
    </w:p>
    <w:p>
      <w:r>
        <w:rPr>
          <w:b/>
        </w:rPr>
        <w:t>E. 21</w:t>
      </w:r>
    </w:p>
    <w:p>
      <w:r>
        <w:t>agosto 2017, cresciuta incontestata in giudicato, emerge che l’assicuratore LAINF ha inizialmente calcolato l’indennità giornaliera spettante all’assicurato sulla base del salario annuale lordo indicato -erroneamente - dal datore di lavoro nella notifica di infortunio del 13 settembre 2013, di fr. 103’344.46 (226.55/giorno) (cfr. doc. 251). Sempre dalla STCA 35.2017.31 del 21 agosto 2017, cresciuta incontestata in giudicato, risulta che in seguito, nell’ambito degli accertamenti volti a chiarire gli aspetti economici legati alla determinazione del diritto alla rendita d’invalidità, l’assicuratore LAINF è venuto a conoscenza del fatto che nel momento in cui è rimasto vittima dell’infortunio (l’11 settembre 2013) - e, in realtà, già prima, a partire dal 7 gennaio 2013 – RI 1 percepiva un salario mensile inferiore rispetto a quello figurante sull’annuncio di infortunio (che corrispondeva alla media annuale del 2012). La differenza salariale in questione, come rilevato dall’amministrazione, era del 20% ed era motivata dal fatto che -come appreso a seguito della richiesta di delucidazioni fornite dal datore di lavoro all’CO 1 nel corso della causa sfociata nella STCA 35.2017.31 del 21 agosto 2017 (cfr. doc. 251 pag. 6) – viste le numerose assenze dell’interessato, il datore di lavoro, aveva proceduto, a partire dal 7 gennaio 2013, ad un cambiamento del suo mansionario. Ciò non aveva avuto alcuna ripercussione sul salario orario, rimasto immutato, ma aveva influito su alcuni supplementi salariali riconosciutigli in precedenza, legati alla sua funzione di supporto ad una squadra di avanzamento in galleria (cfr. STCA citata). Diversamente dalla fattispecie di cui alla STFA C 264/05 succitata in cui, a fronte di un guadagno assicurato di fr. 1'992, nei mesi in discussione l’assicurata aveva avuto entrate complessive (incluse le indennità di disoccupazione percepite) superiori del 50% , secondo questa Corte, in concreto, in analogia con quanto deciso nella sopraccitata STCA 35.2015.31 del 18 aprile 2016, cresciuta incontestata in giudicato (cfr. consid. 2.4.), non si può parlare di un manifesto divario tra quanto RI 1 percepiva prima dell’infortunio e quanto invece corrispostogli dall’Istituto assicuratore resistente a titolo d’indennità giornaliera d’infortunio a far tempo dal 14 settembre 2013. Oltre a ciò, va considerato che la possibilità per l’assicurato di controllare la correttezza dei conteggi CO 1 era resa difficile dal fatto che, nei mesi precedenti il sinistro, egli aveva percepito, come risulta dai conteggi salariali agli atti e come già rilevato nella STCA 35.2017.31 del 21 agosto 2017, anche per la “nuova” attività svolta, una retribuzione non fissa, ma variabile di mese in mese, a seconda del numero di ore – di entità altrettanto variabile – svolte in galleria. Tale conclusione appare tanto più giustificata, ritenuto che l’CO 1 stessa, nel corso della causa di cui alla STCA 35.2017.31 del 21 agosto 2017, ha dovuto richiedere al datore di lavoro dell’interessato delle ulteriori precisazioni concernenti il salario dell’assicurato, ciò ad ulteriore dimostrazione della difficoltà di capire le ragioni che hanno portato il datore di lavoro ad indicare nell’annuncio di infortunio un errato salario lordo. Analogamente, quindi, a quanto deciso nella vertenza scaturita nella STCA 35.2015.31 del 18 aprile 2016, cresciuta incontestata in giudicato (cfr. consid. 2.4.), secondo questa Corte, tutto ben considerato, il ricorrente non poteva, né avrebbe potuto rendersi conto dell’inesattezza dei conteggi d’indennità giornaliera LAINF. In esito a quanto precede, occorre concludere che il presupposto della buona fede di cui agli articoli 25 cpv. 1 LPGA e 4 OPGA, è adempiuto. Tuttavia, affinché possa essere concesso il condono è necessario che sia soddisfatta anche l'altra condizione cumulativa, quella della “grave difficoltà”. Ora, l’amministrazione non ha affrontato la questione avendo escluso il criterio della buona fede, ragione per la quale si giustifica un rinvio degli atti all’CO 1 per esaminare tale requisito. 2.6.   Nel caso concreto, RI 1 è rappresentato dal signor __________ dell’RA 1, il quale va ritenuto persona qualificata per la questione giuridica considerata. L'assicurato, vincente in causa, ha dunque diritto ad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