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35.2018.116 vom 18. Februar 2019</w:t>
      </w:r>
    </w:p>
    <w:p>
      <w:r>
        <w:t>TI Tribunale d'appello, 2019-02-18, IT</w:t>
      </w:r>
    </w:p>
    <w:p>
      <w:r>
        <w:rPr>
          <w:b/>
        </w:rPr>
        <w:t xml:space="preserve">Quelle: </w:t>
      </w:r>
      <w:r>
        <w:t>https://mcp.opencaselaw.ch/entscheid/ti_gerichte_35.2018.116</w:t>
      </w:r>
    </w:p>
    <w:p>
      <w:r>
        <w:t>FR: TI_GERICHTE 35.2018.116 du 18 février 2019</w:t>
      </w:r>
    </w:p>
    <w:p>
      <w:r>
        <w:t>IT: TI_GERICHTE 35.2018.116 del 18 febbraio 2019</w:t>
      </w:r>
    </w:p>
    <w:p>
      <w:pPr>
        <w:pStyle w:val="Heading2"/>
      </w:pPr>
      <w:r>
        <w:t>Regeste</w:t>
      </w:r>
    </w:p>
    <w:p>
      <w:r>
        <w:t>Infortunio 1982 e 1985. Ricaduta 2018. Richiesta di designare un patrocinatore d'ufficio: respinta in ordine. Disturbi non in nesso di causalità naturale con precitati infortuni. "Aktegutachten".</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Questa Corte rileva che la ricorrente ha chiesto, se possibile, di potersi avvalere di un avvocato (cfr. doc. I). Al riguardo il TCA rileva che l’assicurata ha dimostrato di saper difendere adeguatamente i propri interessi.                      L’insorgente, pertanto, non necessita di un patrocinatore d’ufficio ai sensi dell’art. 28 Lptca (cfr. STCA 42.2017.49 del 15 dicembre 2017, consid. 2.2. e rinvii giurisprudenziali ivi citati). La domanda di designazione di un avvocato deve, conseguente-mente, essere respinta (cfr. STF 9C_597/2018 del 18 gennaio 2019; STF 8C_484/2018 del 30 luglio 2018). nel merito 2.3.   L’oggetto della lite è circoscritto alla questione di sapere se l’CO 1 era legittimato a negare la propria responsabilità a proposito dei disturbi oggetto dell’annuncio di ricaduta del mese di aprile 2018, oppure no.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di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2.7.   Nella concreta evenienza, l’assicuratore ha deciso di negare la sua responsabilità relativamente ai disturbi che le sono stati annunciati nell'aprile 2018, facendo capo ai pareri del proprio medico fiduciario (cfr. doc. 136 e 143 - fasc. 3). Interpellato dall’amministrazione in merito all’eziologia dei disturbi denunciati dall’assicurata, con nota del 22 maggio 2018 il dr. med. __________, spec. FMH in chirurgia ortopedica e traumatologia, ha espresso le seguenti considerazioni: " (…) i disturbi attualmente lamentati non possono essere ritenuti in nesso causale sicuro o almeno probabile con i traumi (…). (…) non sono necessari ulteriori accertamenti. Sia la patologia infettiva dell'Herpes (Simplex e Zoster), la Sindrome di Gilbert e i battiti ectopici ventricolari non sono patologie post traumatiche, quindi non rapportabili agli infortuni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