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35.2018.114 vom 18. März 2019</w:t>
      </w:r>
    </w:p>
    <w:p>
      <w:r>
        <w:t>TI Tribunale d'appello, 2019-03-18, IT</w:t>
      </w:r>
    </w:p>
    <w:p>
      <w:r>
        <w:rPr>
          <w:b/>
        </w:rPr>
        <w:t xml:space="preserve">Quelle: </w:t>
      </w:r>
      <w:r>
        <w:t>https://mcp.opencaselaw.ch/entscheid/ti_gerichte_35.2018.114</w:t>
      </w:r>
    </w:p>
    <w:p>
      <w:r>
        <w:t>FR: TI_GERICHTE 35.2018.114 du 18 mars 2019</w:t>
      </w:r>
    </w:p>
    <w:p>
      <w:r>
        <w:t>IT: TI_GERICHTE 35.2018.114 del 18 marzo 2019</w:t>
      </w:r>
    </w:p>
    <w:p>
      <w:pPr>
        <w:pStyle w:val="Heading2"/>
      </w:pPr>
      <w:r>
        <w:t>Regeste</w:t>
      </w:r>
    </w:p>
    <w:p>
      <w:r>
        <w:t>Infortunio spalla destra. Stabilizzazione: 1§ giugno 2018. Giur. cant. arti superiori. RI 14% confermata. 28 cpv. 4 OAINF. Livello di competenze 2. Ded. soc. 10%. Diniego IMI confermato</w:t>
      </w:r>
    </w:p>
    <w:p>
      <w:pPr>
        <w:pStyle w:val="Heading2"/>
      </w:pPr>
      <w:r>
        <w:t>Erwägungen</w:t>
      </w:r>
    </w:p>
    <w:p>
      <w:r>
        <w:rPr>
          <w:b/>
        </w:rPr>
        <w:t>E. 18</w:t>
      </w:r>
    </w:p>
    <w:p>
      <w:r>
        <w:t>luglio 2018 sia (stato) trattato quale nuovo infortunio (come fatto dall'CO 1) e/o ricaduta (come postulato da patrocinatore dell'assicurato). In esito alle considerazioni che precedono , all’amministrazione non può dunque essere rimproverato di aver prematuramente proceduto alla definizione delle prestazioni di lunga durata (rendita d’invalidità + IMI), con conseguente estinzione del diritto alla cura medica e all’indennità giornaliera dal 1° giugno 2018. D ata la stabilizzazione delle condizioni di salute infortunistiche, l’assicuratore LAINF convenuto era quindi legittimato a porre fine alle prestazioni di corta durata (cura medica e indennità giornaliera) e a valutare il diritto alle prestazioni di lunga durata.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a causa dell'infortunio del 5 febbraio 2016, RI 1 si è sottoposto il 14 aprile 2016 ad un intervento di ricostruzione della cuffia rotatoria della spalla destra e il 16 marzo 2017 ad un intervento di nuova ricostruzione del sottoscapolare presso l'__________ di __________ ad opera del dr. med. __________, specialista FMH in chirurgia ortopedica (cfr. doc. 29 e 75). Il 24 gennaio 2018 l'assicurato si è pure sottoposto ad una valutazione della capacità funzionale ad opera del dr. med. __________, specialista FMH in reumatologia, e di __________, terapeuta EFL Ergonomia, presso la Clinica __________ (cfr. doc. 194), che - dopo aver posto la seguente esigibilità: 1) tutto il giorno per l'attività di carpentiere/titolare di un'impresa edile con alcune limitazioni particolari (lavori che rappresentino un carico eccessivo per la spalla destra e lavori pesanti devono essere se possibile evitati, svolti con l'aiuto di altri lavoratori e in ogni caso svolti in sicurezza e al massimo raramente) e 2) tutto il giorno per altre attività lavorative adeguate (attività leggere a mediamente pesanti possono essere svolte spesso nel corso della giornata di lavoro; attività pesanti raramente) con alcune limitazioni particolari (lavori sopra l'altezza delle spalle senza leva eccessiva sulla cuffia dei rotatori, solo raramente lavori continui sopra l'altezza delle spalle, con prudenza l'uso di strumenti sopra l'altezza delle spalle) - hanno concluso per una ripresa graduale di un'attività lavorativa per un ricondizionamento/ripresa del lavoro al 100%, con necessità di un adattamento del mansionario rispetto a prima dell'infortunio e di fisioterapia 2 o 3 volte alla settimana per rinforzare/stabilizzare la muscolatura locale (cuffia rotatori) e la muscolatura globale degli arti superiori (cfr. doc. 194, pag. 7 e 8). Interpellato in merito all'esigibilità lavorativa, al termine della visita medica __________ del 12 marzo 2018, il dr. med. __________, specialista FMH in chirurgia ortopedica e traumatologia dell'apparato locomotore (doc. 237), ha ritenuto l'assicurato " abile nella misura completa nel mercato generale del lavoro con le seguenti limitazioni: Attività sopra il livello orizzontale, sollevare pesi più di 5 kg e attività ripetitive sono escluse da questo profilo. Per specificazioni approfondite vale la valutazione della capacità funzionale effettuata presso la Clinica __________ il 25.01.2018 " (cfr. doc. 237, pag. 3). Nella concreta evenienza questo Tribunale, attentamente vagliato l’insieme della documentazione medica agli atti, ritiene di far propria l'esigibilità stabilita dal medico fiduciario che non è contestata dal patrocinatore dell'assicurato e risulta plausibile anche alla luce dei precedenti giurisprudenziali riguardanti assicurati che accusavano limitazioni nell'utilizzo degli arti superiori (cfr. a questo proposito, STCA 35.2017.51 dell'11 settembre 2017, consid. 2.3.5, e rinvii giurisprudenziali ivi citati).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Da ultimo, il TCA non ignora che il ricorrente al momento della decisione su opposizione avversata era da poco 57enne. Tuttavia, come già esposto al consid. 2.3.2, giusta l'art. 28 cpv. 4 OAINF, norma specifica della LAINF, "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 ." 2.4.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2018 (data di stabilizzazione dello stato di salute infortunistico dell'assi-curato: 1° giugno 2018; cfr. consid. 2.2.2). 2.5.   Per quanto concerne il reddito da valido, s econdo l’assicuratore infortuni resistente, nella decisione avversata, senza il danno alla salute infortunistico, RI 1, nel 2018, come muratore capo-squadra al 100%, avrebbe realizzato un guadagno annuo lordo di fr. 75'686.-, calcolato in base a quanto guadagna nella medesima funzione da quando ha ricominciato a lavorare al 50% dal 20 febbraio 2018. Questo dato, conforme al CCL dell'edilizia (cfr. doc. 273) e non contestato dal ricorrente, può senz’altro essere fatto proprio da questa Corte. Il "reddito da valido" quale " muratore capo-squadra" al 100% per il 2018 è, pertanto, fissato in fr. 75'686.-. 2.6.   Per quanto riguarda il reddito da invalido , d alle tavole processuali risulta che l’amministrazione ha quantificato in fr. 72'161.30 il reddito da invalido, applicando la tabella TA1 2014, media totale, livello di qualifica 2, uomini, riportato sulle 41.7 ore e aggiornato al 2018 e operando successivamente una decurtazione 10% a titolo di deduzione sociale (di cui 5% per attività mediamente pesanti e 5% per l'età)  giungendo così all’importo di fr. 64'945.00 (cfr. doc. 273). 2.6.1.   Il rappresentante dell'insorgente contesta l'applicazione del livello di competenze 2, visto che il suo cliente è un operaio qualificato nel ramo dell'edilizia, ma al di fuori di tale ambito è un semplice operaio di 57 anni senza titoli di studio. Chiamato ora a pronunciarsi, questa Corte ritiene che l’attribuzione al livello di competenze 2 decisa dall’ammini-strazione, debba essere confermata in quanto conforme ai criteri posti dalla giurisprudenza federale. In una sentenza 9C_901/2017 del 28 maggio 2018, il Tribunale federale, esprimendosi proprio sul tema specifico dei livelli di competenza, ha spiegato che: " (…) 3.3. L'argumentation de l'administration est fondée. Comme l'ont relevé tant le tribunal cantonal que l'office recourant,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 Il livello di competenza 2 è stato ritenuto corretto dal TF nella STF 8C_610/2017 del 3 aprile 2018, nel caso di un assicurato che aveva beneficiato di misure d'ordine professionale dell'AI (corso d'ufficio di 3 mesi, riformazione professionale quale aiuto contabile e ottenimento del diploma ad hoc, stage pratico di aiuto contabile di 6 mesi). Il TF ha precisato, al consid. 4.3 in fine , che: " on ne voit pas pourquoi l'intéressé, au bénéfice d'un diplôme d'aide-comptable et après un stage pratique accompli auprès du service de comptabilité des B.________ du 2 mars au 31 août 2015, serait cantonné à des tâches physiques ou manuelles simples relevant du niveau de compétence 1." Il livello di competenza 2 è stato ritenuto corretto dal TF anche nella STF 9C_177/2018 del 28 settembre 2018, nel caso di un assicurato, muratore esperto con una lunga esperienza quale specialista operativo, ove ha precisato, al consid. 3.2, che: " Dabei vermag er nicht aufzuzeigen, dass die Feststellung des kantonalen Gerichts, wonach er (u.a.) im administrativen Bereich über diverse Weiterbildungen sowie in verschiedenen Branchen über mehrjährige Berufserfahrung verfüge, offensichtlich unrichtig wäre. Diese bleibt deshalb für das Bundesgericht verbindlich (oben E. 1.1 und E. 1.2). Nicht stichhaltig ist der Verweis auf die Urteile 9C_780/2016 vom 3. Oktober 2017 (E. 4.3), 9C_125/2009 vom 19. März 2010 (E. 4.4.3) sowie 8C_386/2013 vom 15. Oktober 2013 (E. 6.3). Die dort am Recht stehenden Versicherten verfügten nicht über Fähigkeiten oder Kenntnisse, die (nach invaliditätsbedingtem Berufswechsel) auch in anderen Berufen einsetzbar waren. Der hier zu beurteilende Fall unterscheidet sich davon massgeblich: Dem Beschwerdeführer ist eine Tätigkeit als Betriebsfachmitarbeiter grundsätzlich nach wie vor zumutbar (an einer den Einschränkungen angepassten Stelle; vgl. Expertise vom 21. Juni 2016), wobei seine bisherige langjährige Berufserfahrung auf diversen Gebieten sowie die zahlreichen Weiterbildungen (etwa als Staplerfahrer, Betriebssa-nitäter sowie im Bereich der EDV) nutzbar bleiben. Die Einordnung in Kompetenzniveau 2 verletzt demnach kein Bundesrecht." Il livello di competenza 2 è stato ritenuto corretto dal TF anche nella precitata STF 9C_901/2017 del 28 maggio 2018, per il caso di un assicurato, di professione operatore di una stazione di purificazione, affetto dalle sequele di una malattia polmonare, che aveva beneficiato di una formazione completa quale contabile (a titolo di riformazione professionale) ma aveva bocciato l'esame finale. Quell'attività è stata considerata adeguata nella misura in cui non superasse il 50% di tasso d'occupazione. L'assenza di esperienza nell'ambito della contabilità, il riconoscimento del diploma di aiuto contabile solamente per il cantone Ginevra e la prima bocciatura all'esame finale di contabilità non giustifica la scelta del livello 1, che copre attività semplici di tipo fisico e manuale. Al contrario questi differenti elementi situano l'assicurato nel livello 2, che fa riferimento ad ambiti nei quali egli potrà valorizzare le nuove conoscenze acquisite, indipendentemente dall'assenza di esperienza. Nel caso di specie, dalle carte processuali si evince che l'assicurato, dopo aver terminato le scuole dell’obbligo in Italia, ha appreso la professione di carpentiere, esercitandola in Italia fino al 1990. Dal 1991 al 1992 ha lavorato presso l'impresa __________ di __________, poi dal 1993 fino a 2008 era ritornato a lavorare in Italia. Nel 2009 è ritornato ad esercitare un'attività lucrativa in Svizzera, lavorando tramite un cottimista presso la ditta __________ di __________. Dal 1° ottobre 2010 ha aperto la ditta __________ di __________, unitamente ad un socio, che ha lasciato la ditta a far tempo dal 1° settembre 2015. In quanto unico titolare della ditta (che si occupava di costruzioni di casserature ed armature per le solette e per i muri, opere di giardinaggio in generale, ristrutturazione e manutenzione, nonché posa di pavimenti di qualsiasi genere, come pure compra e vendita immobiliare), con due lavoratori dipendenti, l'assicurato svolgeva fino all'infortunio del 5 febbraio 2016 l'attività di carpentiere per circa l'80% occupandosi personalmente dell'esecuzione dei lavori e delle attività dirigenziali sui cantieri e il rimanente 20% era dedicato alla realizzazione di giardini oppure alle vendite immobiliari ed i lavori "burocratici" (allestimento di offerte e preventivi) venivano svolti alla sera, dopo la giornata lavorativa, oppure durante i fine settimana (la contabilità veniva svolta da una fiduciaria a __________; cfr. doc. 14). Dal marzo 2016 l'attività della ditta è stata sospesa e i due lavoratori dipendenti licenziati e l'assicurato, non avendo più dipendenti, non si è più interessato all'acquisizione di nuovi lavori (cfr. doc. 64). Nel frattempo la società ha cambiato ragione sociale e l'assicurato non ne fa più parte (cfr. doc. 257). Nonostante le critiche sollevate al riguardo dal patrocinatore del ricorrente, il TCA ritiene che si debba anche nel caso concreto utilizzare il livello di competenza 2. Il bagaglio professionale dell’insorgente (che, stante quanto precede, ha un'esperienza qualificata nel ramo dell'edilizia, ove ha pure svolto attività dirigenziali sui cantieri, e, più, in generale, quale titolare e/o co/titolare di una ditta, ove si è occupato anche di aspetti amministrativi, con l'allestimento di offerte e preventivi, ed immobiliari) va ben oltre a quello di cui normalmente dispongono le persone che svolgono attività lavorative comportanti soltanto mansioni semplici di tipo fisico e manuale (livello di competenze 1). Pertanto, a prescindere dal fatto che l'assicurato ha 57 anni e non ha titoli di studio, questa Corte ritiene che, vista la sua grande esperienza, su un mercato del lavoro equilibrato, il ricorrente potrebbe senz’altro accedere a professioni che richiedono un livello di competenze più elevato rispetto a quello minimo, così come ha giustamente stabilito l’amministrazione applicando il livello 2 della tabella TA1 2014 (cfr., per un caso analogo, anche la STCA 35.2015.124 del 17 maggio 2016, consid. 2.3.3, confermata in STF 8C_423/2016 del 16 novembre 2016). 2.6.2.   Al precedente considerando, è stato chiarito l’aspetto riguardante il livello di competenze applicabile nel caso di specie. Ora, utilizzando i dati forniti dalla tabella TA1, l’assicurato, svolgendo nel 2014 una professione che implica un livello di competenze 2 nel settore privato svizzero (a proposito della rilevanza delle condizioni nel settore privato, cfr. RAMI 2001 U 439, p. 347ss. e SVR 2002 UV 15, p. 47ss.), avrebbe potuto realizzare, in media, un salario mensile lordo pari a fr. 5'660. Riportando questo dato su 41.7 ore ( cfr. dati pubblicati sul sito web dell’UFS; a questo proposito, si veda la STF 8C_480/2010 del 10 marzo 2012 consid. 3.1.1) , esso ammonta a fr. 5'900.55 mensili oppure a fr. 70'806.60 per l’intero anno (fr. 5'900.55 x 12 mesi). Dopo adeguamento all'indice dei salari nominali (ovvero: adeguamento salariale dello 0.4% per l’anno 2015, 0.7% per il 2016 e 0.4 per il 2017 e per il 2018) si ottiene, per il 2018, un reddito annuo di fr. 72'161.30. Il "reddito da invalido" per il 2018 è, pertanto, fissato a fr. 72 '161.30 . 2.6.3.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l'CO 1 ha operato una decurtazione del 10% a titolo di deduzione sociale (di cui 5% per attività mediamente pesanti e 5% per l'età) giungendo così all’importo di fr. 64'945.00 (cfr. doc. 273). Il patrocinatore del ricorrente ritiene che al reddito "da invalido", applicato in base al livello 1 TA1 2014, deve essere applicata, quantomeno una riduzione del 10% (doc. I).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una deduzione sociale del 10%, così come peraltro stabilito dall'CO 1 nel precitato calcolo  tenga ampiamente conto degli effetti legati al danno alla salute di cui è affetto l'assicurato.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Il "reddito da invalido" di fr. 72 '161.30 (cfr. consid. 2.6.2), tenuto conto di una decurtazione sociale del 10%, ammonta dunque a fr. 64'945.-. 2.7.   Confrontando il reddito da invalido di fr. 64'945.00 (cfr. consid. 2.6.3) con quello da valido di fr. 75'686.- (cfr. consid. 2.5), si ottiene un grado d’invalidità del 14.19 % ( [75'686.00 - 64'945.00] x 100 : 75'686.00 = 14.19% arrotondato al 14% secondo la giurisprudenza di cui alla DTF 130 V 121). Visto che mediante la decisione su opposizione impugnata all’assicurato è stata riconosciuta una rendita di invalidità del 14% dal 1° giugno 2018 (ovvero dalla stabilizzazione dello stato di salute; cfr. consid. 2.2.2) a tempo indeterminato, per quest'aspetto, essa merita conferma. 2.8. Diritto a un'indennità per menomazione all’integrità? 2.8.1.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2.8.3.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2.8.4.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2.8.5.   Nella concreta evenienza, dopo aver sentito il parere del 12 aprile 2018 del dr. med. __________, specialista FMH in chirurgia ortopedica e traumatologia dell'apparto locomotore, (redatto, giova qui rilevare, dopo avere visitato personalmente l'assicurato ed averne eseguito l'esame obiettivo), giusta il quale " Oggettivamente si nota una lieve limitazione della funzionalità e una leggera mancanza della forza della mano destra. (…). L'assicurato non ha diritto a danno per l'integrità " (doc. 237), l'CO 1 ha negato all'assicurato, con la decisione del 10 agosto 2018 (doc. 275) - confermata con la decisione su opposizione del 10 ottobre 2018 qui avversata (doc. 292) - un'IMI. Il patrocinatore del ricorrente critica la mancata assegnazione di un'IMI, puntualizzando che " non riusciamo a comprendere come si possa affermare che il sinistro in esame non abbia comportato il riconoscimento di una indennità per la menomazione all'integrità, che qui viene nuovamente rivendicata. Siamo nel frattempo in attesa di sottoporre a codesto Tribunale un referto medico che confermerà tale assunto. ". Nell'apprezzamento medico del 9 ottobre 2018 (cfr. doc. 291), il dr. med. __________ ha spiegato in modo convincente e circostanziato i motivi per cui l'assicurato non ha diritto ad un'IMI. Il TCA non ha motivo di scostarsi da quanto deciso dall', considerato che, secondo la giurisprudenza federale, l'indennità per menomazione dell'integrità si valuta esclusivamente sulla base di constatazioni mediche, e cioè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Nel caso concreto, nell' apprezzamento medico del 9 ottobre 2018, il dr. med. __________, specialista che vanta un’ampia esperienza in materia di medicina assicurativa e infortunistica, ha fornito una spiegazione dettagliata e motivata. Del resto, Il TCA ritiene che la valutazione dell'IMI effettuata dal medico fiduciario, in particolare a fronte di un'abduzione di 160° (cfr. doc. 291), deve essere seguita, nella misura in cui RI 1 - benché non possa più ingaggiare l'arto superiore destro in lavori da compiere sopra l'altezza delle spalle - è comunque in grado di alzarlo al di là dell'orizzontale (la funzione della spalla destra, infatti, in abduzione, supera i 120°, cfr. doc. 159; cfr., tra le tante, STCA 35.2003.92 del 30 agosto 2004, consid. 2.6.5 e STCA 35.2008.23 dell'8 settembre 2008, consid. 2.6.6; STCA 35.2017.51 dell'11 settembre 2017, consid. 2.9.5). La valutazione dello specialista interpellato dall'CO 1 non è stata smentita da certificati medico-specialistici neppure in sede ricorsuale ed il parere (per di più generico) del rappresentante legale dell'assicurato ha il valore di una semplice dichiarazione di parte e non può quindi essere condivisa dal TCA. Il patrocinatore ha preavvisato in sede di ricorso la produzione di un certificato medico a suffragio delle proprie argomentazioni che a tutt'oggi, nonostante il TCA abbia assegnato il 3 gennaio 2019 alle parti un termine di 10 giorni per presentare eventuali altri mezzi di prova, non è pervenuto.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Stante quanto precede, in sunto, il TCA non ha quindi motivo di scostarsi dalle considerazioni espresse dal medico __________. In conclusione, la decisione su opposizione impugnata merita tutela anche nella misura in cui ha negato all’insorgente un'IMI.</w:t>
      </w:r>
    </w:p>
    <w:p>
      <w:r>
        <w:rPr>
          <w:b/>
        </w:rPr>
        <w:t>E. 30</w:t>
      </w:r>
    </w:p>
    <w:p>
      <w:r>
        <w:t>novembre 2012 consid. 4.2.3, la STF 8C_361/2011 del 20 luglio 2011, la STF 8C_373/2008 del 28 agosto 2008 consid. 5.2.2.2 e la STF 8C_292/2009 del 10 giugno 2009 consid. 5.2.1).Il "reddito da invalido" difr.72'161.30(cfr. consid. 2.6.2),tenuto conto di una decurtazione sociale del 10%, ammonta dunque a fr. 64'945.-.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