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35.2018.100 vom 21. März 2019</w:t>
      </w:r>
    </w:p>
    <w:p>
      <w:r>
        <w:t>TI Tribunale d'appello, 2019-03-21, IT</w:t>
      </w:r>
    </w:p>
    <w:p>
      <w:r>
        <w:rPr>
          <w:b/>
        </w:rPr>
        <w:t xml:space="preserve">Quelle: </w:t>
      </w:r>
      <w:r>
        <w:t>https://mcp.opencaselaw.ch/entscheid/ti_gerichte_35.2018.100</w:t>
      </w:r>
    </w:p>
    <w:p>
      <w:r>
        <w:t>FR: TI_GERICHTE 35.2018.100 du 21 mars 2019</w:t>
      </w:r>
    </w:p>
    <w:p>
      <w:r>
        <w:t>IT: TI_GERICHTE 35.2018.100 del 21 marzo 2019</w:t>
      </w:r>
    </w:p>
    <w:p>
      <w:pPr>
        <w:pStyle w:val="Heading2"/>
      </w:pPr>
      <w:r>
        <w:t>Regeste</w:t>
      </w:r>
    </w:p>
    <w:p>
      <w:r>
        <w:t>Diritto a una rendita d'invalidità: caso di applicazione art. 28 cpv. 3 OAINF. Entità IMI. Negato diritto all'ass. giudiziaria (manca prob. esito favorevole)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lite è la questione di sapere se l’CO 1 era legittimato a negare il diritto alla rendita d’invalidità a dipendenza dell’infortunio accaduto il 17 marzo 2016, come pure l’entità della menomazione dell’integrità di cui egli è portatore.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L'art. 28 cpv. 3 OAINF prevede che se la capacità lavorativa dell'assicurato era già ridotta in modo durevole prima dell'infortunio a causa di un danno alla salute non assicurato, per calcolare il grado d'invalidità si deve paragonare il salario che l'assicurato potrebbe realizzare tenuto conto dell'incapacità lavorativa ridotta preesistente con il reddito che potrebbe conseguire malgrado le conseguenze dell'infortunio e la menomazione preesistente. Nel quadro di questa disposizione, il reddito conseguito prima del nuovo infortunio a fronte di una ridotta capacità lavorativa costituisce certo un reddito da invalido, tuttavia nei confronti del nuovo infortunio corrisponde al reddito da valido, mentre il reddito realizzato dopo questo infortunio rappresenta il reddito da invalido. Il reddito da valido ai sensi dell’art. 28 cpv. 3 OAINF costituisce dunque per definizione un reddito ridotto per motivi di salute (cfr. STF 8C_876/2015 del 29 gennaio 2016 consid. 5.2.3 e riferimenti ivi menzionati). 2.3.4.   Nella concreta evenienza, dalla decisione su opposizione impugnata si evince che l’amministrazione ha negato il diritto a una rendita d’invalidità in applicazione dell’art. 28 cpv. 3 OAINF. Accertato che, già prima dell’infortunio del marzo 2016, la capacità lavorativa dell’insorgente era ridotta a causa di patologie extra-infortunistiche (morbose), l’CO 1 ha sostenuto che i postumi infortunistici non l’hanno pregiudicata in misura tale da fondare il diritto a una rendita d’invalidità LAINF (cfr. doc. 176). A proposito della situazione antecedente al noto infortunio, dalle carte processuali emerge che, nei mesi di luglio e agosto 2014, il ricorrente è stato sottoposto ad accertamenti pluridisciplinari (reumatologici, neurologici e psichiatrici) nel quadro della perizia ordinata dall’assicurazione per l’invalidità. Dal relativo referto, datato 2 ottobre 2014, risulta che l’assicurato soffriva – diagnosi con influenza sulla capacità lavorativa – di una sindrome cervicospondilogena cronica bilaterale in discopatia C3-C4 con ernia discale in sede recessale-foraminale a sinistra con uncartrosi, nota discopatia C5-C6 con condrosi e protusione discale, disturbi statici del rachide, tendenza a ipermobilità articolare nonché decondizionamento e sbilancio muscolare, come pure – diagnosi senza influenza sulla capacità lavorativa – di una possibile cefalea post-traumatica associata a sindrome cervicale, di una sospetta sindrome somatoforme da dolore persistente, di obesità e di tabagismo cronico (doc. 174, p. 17). D’altro canto, i periti hanno espresso le seguenti considerazioni a proposito della capacità/esigibilità lavorativa dell’assicurato, frutto di una discussione di consenso: " (…) Le conseguenze sulla capacità lavorativa derivano dalle patologie descritte in ambito reumatologico, mentre come descritto nei capitoli precedenti, dal punto di vista neurologico e psichiatrico non vi sono limitazioni della capacità lavorativa. (…). Queste patologie comportano limitazioni per quanto riguarda il sollevamento e trasporto di pesi fino all’altezza dei fianchi, il sollevamento di pesi fino all’altezza del petto, il maneggiare attrezzi, l’effettuare lavori al di sopra della testa, l’assunzione di certe posizioni ed il salire su scale a pioli. Come già descritto in precedenza dal collega di specialità Dr. med. __________ di __________, si riconferma la valutazione della capacità lavorativa nell’ultima attività professionale espletata come muratore; per quest’ultimo lavoro vi è una capacità lavorativa massimale del 40% a partire dal 27.11.2013 , intesa come attività svolta sull’arco di una giornata lavorativa normale di 8-9 ore, ma con una riduzione di rendimento del 60%, a seguito dei limiti funzionali e di carico profilati sopra che limitano in gran parte il mansionario del muratore. (…). Dal punto di vista reumatologico, per quanto concerne la capacità funzionale e di carico residua, l’A. può spesso sollevare e portare pesi fino a 5 kg fino all’altezza dei fianchi, di rado pesi tra 5-10 kg fino all’altezza dei fianchi, mai pesi oltre i 10 kg fino all’altezza dei fianchi; l’A. può talvolta sollevare pesi fino a 5 kg sopra l’altezza del petto, di rado pesi oltrepassanti i 5 kg sopra l’altezza del petto. L’A. può molto spesso maneggiare attrezzi di media entità, di rado attrezzi pesanti, mai maneggiare attrezzi molto pesanti. La rotazione manuale è normale. L’A. può di rado effettuare lavori al di sopra della testa, spesso effettuare la rotazione del tronco, molto spesso assumere la posizione seduta ed inclinata in avanti, molto spesso la posizione in piedi ed inclinata in avanti, molto spesso assumere la posizione inginocchiata, molto spesso effettuare la flessione delle ginocchia. L’a. può assumere talvolta la posizione in piedi di lunga durata. L’A. può molto spesso camminare fino a 50 metri, molto spesso oltre i 50 metri, molto spesso camminare per lunghi tragitti, come pure spesso camminare su terreno accidentato, può molto spesso salire le scale, di rado salire su scale a pioli. In un lavoro adatto allo stato di salute, il consulente giudica l’A., come già in precedenza il collega di specialità Dr. med. __________ di __________, abile al lavoro sull’arco di una giornata lavorativa normale di 8-9 ore, con un rendimento massimo del 100% , a partire dal giorno seguente la valutazione medico-fiduciaria reumatologica del 26.11.2013, quindi a decorrere dal 27.11.2013.” (doc. 174, p. 22 e p. 24 – il corsivo è del redattore) Con decisione del 17 giugno 2015, l’UAI ha quindi posto il ricorrente al beneficio di una rendita d’invalidità intera limitata nel tempo, dal 1° ottobre 2013 al 28 febbraio 2014. Il grado d’invalidità, dello 0% a far tempo dal novembre 2013, è stato stabilito raffrontando il reddito che l’assicurato avrebbe potuto conseguire senza il danno alla salute continuando a svolgere la sua precedente professione di muratore (fr. 54’824/anno) con il reddito che egli sarebbe in grado di realizzare nonostante il danno alla salute, esercitando delle attività sostitutive adeguate in misura completa (fr. 56’172/anno) (doc. 103, p. 3 s. – fasc. 2 e doc. 154, p. 1). Il provvedimento appena citato è cresciuto incontestato in giudicato. Nel frattempo, nel corso del mese di marzo 2016, RI 1 è rimasto vittima dell’infortunio assicurato dall’CO 1, riportando la frattura del corpo vertebrale di L1 di tipo A1 (doc. 19, p. 1), trattata in modo conservativo. In data 4 maggio 2017 ha avuto luogo la visita _____________ di chiusura, a margine della quale il dott. __________, spec. in chirurgia ortopedica e traumatologia, ha valutato l’esigibilità lavorativa nei seguenti termini, a dipendenza della presenza di uno “stato dopo frattura traumatica di L1 tipo A1 in progressione radiologica con cuneizzazione e cifotizzazione della colonna dorsolombare, componente dolori lombari intensi, senza deficit neurologici del 17.03.2016”: " (…) Molto spesso può sollevare pesi molto leggeri (fino a 5 kg fino all’altezza dei fianchi), spesso può sollevare pesi leggeri (tra 5 e 10 kg) fino all’altezza dei fianchi; di rado può sollevare pesi medi (tra i 10 e i 25 kg) fino all’altezza dei fianchi; mai più può sollevare pesi pesanti e molto pesanti oltre l’altezza dei fianchi; molto spesso può sollevare oltre l’altezza del petto pesi fino a 5 kg, talvolta può sollevare oltre l’altezza del petto pesi superiori ai 5 kg. Molto spesso può maneggiare attrezzi leggeri e di precisione, attrezzi medi; mai più può eseguire lavoro pesante, lavoro manuale rozzo, lavoro molto pesante; molto spesso può eseguire la rotazione della mano. Molto spesso può eseguire lavori sopra la testa, raramente lavori con rotazione, talvolta può assumere la posizione seduta/inclinata in avanti, posizione in piedi/inclinata in avanti; molto spesso può avere la posizione inginocchiata e flessione delle ginocchia. Spesso può avere una posizione seduta di lunga durata, spesso una posizione di lunga durata in piedi, molto spesso una posizione di libera scelta. Molto spesso può camminare per lunghi tratti, di rado può camminare su terreno accidentato, talvolta salire le scale, raramente può salire le scale a pioli. Possibile l’uso delle due mani, nessun problema di equilibrio.” Secondo il medico __________, l’assicurato sarebbe in grado di svolgere attività lavorative che rispettino le limitazioni descritte in precedenza, “senza limitazioni di prestazioni e di tempo” (doc. 140, p. 6). Invitato dall’amministrazione a definire l’esigibilità lavorativa tenuto conto delle affezioni morbose e di quelle infortunistiche, con apprezzamento del 30 agosto 2018, il dott. __________, spec. FMH in chirurgia ortopedica e traumatologia, ha innanzitutto precisato che “da confronto tra le due esigibilità (quella espressa nel contesto della perizia __________ e quella enunciata dal dott. __________ a margine della visita di chiusura, n.d.r.), l’una legata all’evento morboso e l’altra riferibile all’evento traumatico, è evidente che insistendo le due patologie su due tratti differenti della colonna vertebrale, la concomitante presenza di entrambi i quadri patologici abbia determinato una variazione dell’esigibilità. Ciò è dovuto a limitazioni almeno in parte di carattere ed entità differente, che qualora considerate globalmente portano ad una variazione in senso peggiorativo dell’esigibilità al lavoro. Una nuova esigibilità che consideri globalmente la situazione dell’assicurato per quanto risulta dalla documentazione AI e dalla documentazione delle due visite medico-_____________ del dott. med. __________ confermata poi dalla visita del dott. med. __________ porta ad una nuova esigibilità globale.” (doc. 175, p. 2). Questo quindi il suo apprezzamento dell’esigibilità lavorativa: " (…) Sollevare e portare: l’assicurato è in grado di sollevare pesi molto leggeri fino a 5 kg fino all’altezza dei fianchi con due mani spesso, pesi leggeri di rado, pesanti e molto pesanti mai. È in grado di sollevare oltre l’altezza del petto pesi leggeri talvolta, pesi superiori ai 5 kg di rado. Maneggio di attrezzi: l’assicurato è in grado di maneggiare attrezzi leggeri e di precisione molto spesso, medi talvolta, pesanti e molto pesanti mai. La rotazione è possibile molto spesso. Posizione e mobilità: l’assicurato è in grado di eseguire lavori sopra la testa di rado, rotazione del busto di rado, posizione seduta e inclinata in avanti, posizione in piedi e inclinata in avanti talvolta; posizione inginocchiata e con flessione delle ginocchia molto spesso. Posizione di lunga durata: l’assicurato è in grado di mantenere la posizione seduta e la posizione in piedi talvolta. Spostamenti: l’assicurato è in grado di camminare anche per lunghi tratti molto spesso, camminare su terreno accidentato di rado, salire le scale talvolta, salire le scale a pioli di rado. L’assicurato in un’attività che rispetti l’esigibilità espressa è da considerarsi abile in misura completa con rendimento completo senza pause supplementari. È inoltre da considerarsi abile in misura completa in attività confacente sul mercato generale del lavoro .” (doc. 175, p. 3 – il corsivo è del redattore) 2.3.5.   Chiamato a pronunciarsi in merito all’applicabilità al caso di specie dell’art. 28 cpv. 3 OAINF, questo Tribunale ritiene che, alla luce della documentazione riassunta in precedenza, occorra ammettere che già prima dell’infortunio del marzo 2016, la capacità lavorativa di RI 1 era ridotta in maniera durevole a causa di affezioni extra-infortunistiche. In questo senso, si veda la perizia __________ del 5 novembre 2013, dalla quale si evince che, a causa della problematica (morbosa) interessante il rachide cervicale, dal mese di novembre 2013 , l’insorgente risultava definitivamente inabile nella misura del 60% nella sua precedente professione di muratore (la piena capacità lavorativa era riferita ad attività alternative adeguate) (doc. 174, p. 22). Sulla scorta di quanto precede e in ossequio al disposto di cui all’art. 28 cpv. 3 OAINF, occorre raffrontare il reddito che l’assicurato potrebbe realizzare tenuto conto della sua ridotta capacità lavorativa preesistente a quello che egli potrebbe ancora conseguire considerando la globalità del danno alla salute (affezioni morbose + affezioni infortunistiche). Trattandosi del reddito da valido (ai sensi dell’art. 28 cpv. 3 OAINF – cfr. supra , consid. 2.3.3.), occorre ritenere che, in base ai dati forniti dalla tabella TA 1_tirage_skill_level Svizzera 2016 (cfr. la STF 8C_46/2018 dell’11 gennaio 2019 consid. 4.3), svolgendo nel 2016 una professione che presuppone qualifiche inferiori (livello di competenze 1) nel settore privato svizzero (a proposito della rilevanza delle condizioni salariali nel settore privato, cfr. RAMI 2001 U 439, p. 347ss. e SVR 2002 UV 15, p. 47ss.), il ricorrente avrebbe potuto realizzare, in media, un salario mensile lordo pari a fr. 5’340. Riportando questo dato su 41.7 ore , esso ammonta a fr. 5'566.95 mensili oppure a fr. 66'803.40 per l'intero anno (fr. 5'566.95 x 12). Dopo adeguamento all'indice dei salari nominali, si ottiene, per il 2017, un reddito annuo di fr. 67'070.61 (+0.4%) e, per il 2018 (data di decorrenza della rendita), un reddito annuo di fr. 67'405.96 (+0,5%). Applicata la riduzione del 10% decisa dall’UAI (5% per la necessità di svolgere unicamente attività leggere e 5% per svantaggi salariali derivanti da contingenze particolari – cfr. doc. 102, p. 4), il reddito da valido ammonta a fr. 60'665.36. Per quanto concerne invece il reddito da invalido , va innanzitutto precisato che, in base all’apprezzamento 30 agosto 2018 del chirurgo ortopedico dott. __________, sebbene si sia nel frattempo “aggiunto” il danno (infortunistico) al rachide lombare, l’assicurato ha conservato una piena capacità lavorativa in attività adeguate (cfr. doc. 175, p. 3: “L’assicurato in un’attività che rispetti l’esigibilità espressa è da considerarsi abile in misura completa con rendimento completo senza pause supplementari .” – il corsivo è del redattore). Il TCA constata che agli atti non figurano certificazioni mediche suscettibili di generare dei dubbi, neppure lievi (cfr. la DTF 135 V 465), circa la fondatezza della valutazione espressa dal medico __________. D’altra parte, le obiezioni sollevate al riguardo con il ricorso (cfr. doc. I, p. 6), non appaiono atte a giustificare una diversa conclusione. Al rapporto 30 agosto 2018 del dott. __________ può dunque essere attribuito pieno valore probatorio. L’assicurato, sempre nel 2018, al momento della chiusura del caso del marzo 2016, era dunque ancora in grado di svolgere delle attività leggere, semplici e ripetitive, ragione per la quale, utilizzando sempre i dati forniti dalla tabella TA 1_tirage_skill_level Svizzera 2016 e procedendo ai necessari adeguamenti all'indice dei salari nominali, avrebbe potuto conseguire - tenuto conto del danno alla salute globale - un reddito annuo lordo di fr. 67'405.96, tuttavia con un’ulteriore riduzione del 5% in relazione alle limitazioni subentrate a seguito dell’infortunio al rachide lombare. Considerata una deduzione complessiva dal reddito da invalido pari al 15%, risulta un grado d’invalidità del 5% , che non dà diritto ad una rendita (cfr. art. 18 cpv. 1 LAINF). In conclusione, la decisione su opposizione impugnata, mediante la quale l’CO 1 ha negato all’assicurato il diritto a una rendita d’invalidità a decorrere dal 1° maggio 2018, deve essere confermata. 2.4. Entità della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da la loi sur l'assurance-accidents (LAA),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 decisione dell’CO 1 di attribuire all’insorgente un’IMI del 10% risulta fondata sul seguente apprezzamento, enunciato dal chirurgo ortopedico dott. __________ a margine della visita _____________ di chiusura del 1° febbraio 2018: " (…). 1. Reperti Importante deficit funzionale doloroso del rachide lombare su infortunio del 17.03.2016 con esiti dopo frattura traumatica di L1 tipo A1 in progressione radiologica con cuneizzazione e cifotizzazione della colonna dorso-lombare, dolori lombari intensi, senza deficit neurologici. 2. Valutazione del danno all’integrità 10% 3. Motivazione Secondo la tabella 7.2 in accordo alla scala funzionale del dolore si deve presupporre un’intensità di + o ++; per questo motivo decidiamo un valore del 10% che corrisponde al valore massimo per dolori moderati al movimento, rari o assenti a riposo con remissione buona e rapida (1-2 giorni) e corrisponde invece al valore minimo di dolori lievi persistenti, anche a riposo, aumentati dal carico.” (doc. 141) Con la propria impugnativa, l’assicurato chiede che l’entità della menomazione dell’integrità di cui è portatore venga ridefinita “ in modo equo ”, ritenendo insufficiente quanto riconosciutogli (doc. I, p. 7). Chiamato a pronunciarsi su una questione di natura squisitamente medica, il TCA ritiene che la valutazione espressa dal medico _____________, specialista nella materia che qui interessa e che vanta un’ampia esperienza nella medicina assicurativa e infortunistica, possa validamente costituire da base al giudizio che è chiamato a rendere, senza che si avveri necessario procedere a ulteriori atti istruttori. Le contestazioni del ricorrente appaiono generiche, non supportate da documentazione specialistica e, pertanto, inidonee a scalfire il valore probatorio attribuito al parere del dott. __________. Per il resto, il ricorrente non può essere seguito nemmeno laddove rimprovera all’istituto assicuratore di non aver motivato a sufficienza la propria decisione sull’IMI (cfr. doc. I, p. 7). Dalla decisione formale del 29 giugno 2018 risulta in effetti che l’amministrazione ha riportato le pertinenti norme di legge e d’ordinanza e ha fatto riferimento all’apprezzamento espresso in proposito dal medico _____________. All’assicurato (rispettivamente al suo patrocinatore) sarebbe bastato chiedere di consultare gli atti (art. 47 LPGA), per prendere conoscenza delle motivazioni mediche che hanno giustificato l’attribuzione di un’IMI del 10%. La decisione impugnata va pertanto confermata anche nella misura in cui l’amministrazione ha quantificato in un 10% l’IMI spettante all’assicurato. 2.5.   L’assicurato ha domandato di essere sentito (cfr. doc. I, p.7). Egli non ha formulato un'esplicita richiesta di indire un pubblico dibattimento (cfr., su questo aspetto, la DTF 125 V 38 consid. 2) , ma ha semplicemente chiesto un’udienza per essere sentito dinanzi al TCA, formulando di fatto una richiesta di assunzione di prove , nella forma dell'interrogatorio di parte. Ora, questa Corte può esimersi dal sentire l'assicurato in udienza, dando seguito al richiesto interrogatorio di parte, in quanto superfluo ai fini dell'esito della vertenza (cfr. STF 8C_525/2016 del 27 settembre 2017 consid. 2.3; 8C_186/2017 del 1° settembre 2017 consid. 2.3; 8C_64/2017 del 27 aprile 2017 consid. 4.2; 8C_723/2016 del 30 marzo 2017 consid. 3.2; I 472/06 del 21 agosto 2007 consid. 2). 2.6.   Deve ancora essere verificato se il ricorrente può essere posto al beneficio dell’assistenza giudiziaria con il gratuito patrocinio dell’avv. RA 1 (cfr. doc. I, p. 4 s.).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Un processo è sprovvisto di esito favorevole se le prospettive di vincerlo sono notevolmente inferiori rispetto ai rischi di perderlo e se esse non possono essere giudicate come serie, di modo che una persona ragionevole e di condizioni agiate vi rinuncerebbe in ragione delle spese a cui si esporrebbe. Per contro, una domanda non deve essere considerata come sprovvista di esito favorevole se le prospettive di vittoria e i rischi d’insuccesso si eguagliano o le prime sono soltanto leggermente inferiori rispetto ai secondi (cfr. D TF 133 III 614 consid. 5; 129 I 129 consid. 2.3.1 e riferimenti ivi menzionati). Nel caso concreto, da una parte, occorre considerare che riguardo alle modalità di determinazione della rendita d’invalidità e dell’IMI e in merito al l’apprezzamento delle prove nell’ambito del diritto delle assicurazioni sociali , esistono dei principi giurisprudenziali chiari e consolidati, di facile accesso in quanto pubblicati sia nella Raccolta ufficiale che nel sito web della Confederazione, rispettivamente in quello del Cantone Ticino. Dall’altra, non può essere ignorato che le contestazioni formulate dal ricorrente, per quanto riguarda sia la valutazione dell’esigibilità lavorativa che l’apprezzamento della menomazione dell’integrità, non risultano supportate da documentazione medica. In esito a quanto precede, all’avv. RA 1 doveva dunque apparire evidente che il rischio che la propria impugnativa venisse respinta era maggiore rispetto alle prospettive di un successo, ragione per la quale il requisito della probabilità di esito favorevole va giudicato insoddisfatto.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