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35.2017.82 vom 9. Juli 2018</w:t>
      </w:r>
    </w:p>
    <w:p>
      <w:r>
        <w:t>TI Tribunale d'appello, 2018-07-09, IT</w:t>
      </w:r>
    </w:p>
    <w:p>
      <w:r>
        <w:rPr>
          <w:b/>
        </w:rPr>
        <w:t xml:space="preserve">Quelle: </w:t>
      </w:r>
      <w:r>
        <w:t>https://mcp.opencaselaw.ch/entscheid/ti_gerichte_35.2017.82</w:t>
      </w:r>
    </w:p>
    <w:p>
      <w:r>
        <w:t>FR: TI_GERICHTE 35.2017.82 du 9 juillet 2018</w:t>
      </w:r>
    </w:p>
    <w:p>
      <w:r>
        <w:t>IT: TI_GERICHTE 35.2017.82 del 9 luglio 2018</w:t>
      </w:r>
    </w:p>
    <w:p>
      <w:pPr>
        <w:pStyle w:val="Heading2"/>
      </w:pPr>
      <w:r>
        <w:t>Regeste</w:t>
      </w:r>
    </w:p>
    <w:p>
      <w:r>
        <w:t>Negata adeguatezza a nesso causale tra infortunio (incidente stradale) e disturbi psichici, risp. disturbi privi di sostrato organico. Negato diritto a rendita d'invalidità (raffronto dei redditi). Negato diritto all'IMI</w:t>
      </w:r>
    </w:p>
    <w:p>
      <w:pPr>
        <w:pStyle w:val="Heading2"/>
      </w:pPr>
      <w:r>
        <w:t>Erwägungen</w:t>
      </w:r>
    </w:p>
    <w:p>
      <w:r>
        <w:rPr>
          <w:b/>
        </w:rPr>
        <w:t>E. 29</w:t>
      </w:r>
    </w:p>
    <w:p>
      <w:r>
        <w:t>maggio 2009 consid. 4.3 relativa a delle fratture del naso, del bacino, delle costole IV, V e X a destra e di un pneumotorace,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la STF U 73/07 del 5 settembre 2007 consid. 3 concernente una frattura di D7-D8, la STFA U 36/05 e U 38/05 del 16 gennaio 2006 consid. 3.4. riguardante una frattura stabile del bacino con frattura superiore e inferiore dell’osso pubico, una frattura a livello della colonna vertebrale toracale, nonché un trauma renale, la STFA U 31/03 e 342/03 del 30 novembre 2004 relativa a una frattura del corpo vertebrale di L1, nonché la STFA U 260/01 del 28 marzo 2002 consid. 3c concernente una frattura da compressione delle vertebre D10 e D11, come pure una frattura della clavicola). Dalle carte processuali non risulta neppure che l’insorgente sia rimasta vittima di una cura medica errata e notevolmente aggravante degli esiti dell'evento traumatico. Questo Tribunale ritiene che non si possa parimenti pretendere che la cura medica dipendente dall'evento infortunistico sia stata eccezionalmente lunga.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 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Nel caso di specie, dalla documentazione agli atti emerge che RI 1 ha soggiornato dal 9 febbraio al 6 marzo 2015 presso l’Ospedale __________ di __________. Durante la degenza ella è stata sottoposta a tre interventi operatori: fasciotomia, debridement delle ferite e posa di fissatore esterno femoro-tibiale sinistro (9 febbraio 2015), second look chirurgico (11 febbraio 2015) e riduzione cruenta con osteosintesi a livello della tibia prossimale (17 febbraio 2015). In data 13 settembre 2016 ha avuto luogo l’asportazione del materiale di osteosintesi (degenza 13 – 15 settembre 2016 presso la Clinica __________ di __________). Il 16 febbraio 2017 si è proceduto alla correzione delle cicatrici presenti a livello del polpaccio sinistro (degenza 16 – 18 febbraio 2017 presso la Clinica __________ di __________). Per il resto, le cure che gli sono state prestate sono consistite essenzialmente in una farmacoterapia e nell’esecuzione di (numerosi) cicli di fisioterapia, dapprima in regime di day hospital (presso la Clinica di riabilitazione __________ di __________), successivamente a livello ambulatoriale. È d’altronde utile segnalare che l’Alta Corte ha negato l’adempimento di questo criterio, trattandosi di un assicurato che nel luglio 2007, a seguito della caduta da una terrazza, aveva riportato fratture a livello dei calcagni e del corpo vertebrale di L3, e che perciò era stato sottoposto a quattro interventi operatori tra il 2007 e il 2011 (cfr. STF 8C_933/2014 del 22 aprile 2015 consid. 3.2.2.2) oppure trattandosi di un’assicurata, vittima di un incidente stradale con diverse fratture a livello dell’estremità superiore destra, che era stata sottoposta a quattro interventi chirurgici, che era stata ospedalizzata in due occasioni (la prima per circa tre settimane, la seconda per oltre un mese) e che, per il resto, le era stata prescritta una terapia farmacologica e l’esecuzione di fisio- ed ergoterapia ambulatoriale (cfr. STF 8C_729/2012 del 4 aprile 2013 consid. 8.3; in questo senso, si veda pure la STF 8C_175/2010 del 14 febbraio 2011 consid. 5.4), Il Tribunale federale ne ha per contro riconosciuto la realizzazione, trattandosi di un assicurato, vittima di un incidente della circolazione stradale con commotio cerebri , frattura al gomito sinistro, frattura della patella del ginocchio sinistro e frattura del plateau tibiale destro, che aveva dovuto subire (in particolare) sette interventi chirurgici, l’ultimo dei quali eseguito più di sette anni dopo l’evento infortunistico (cfr. STF 8C_137/2014 del 5 giugno 2014 consid. 7.3). Da parte sua, il TCA ne ha ammesso l’adempimento in una sentenza 35.2014.2 del 17 settembre 2014 consid. 2.12, riguardante un assicurato, anch’egli vittima di un incidente stradale, le cui conseguenze avevano necessitato di ben dieci operazioni chirurgiche, l’ultima delle quali eseguita a distanza di sei anni e mezzo circa dall’infortunio. Anche il criterio del decorso sfavorevole della cura e le complicazioni rilevanti intervenute, non è adempiuto.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Nella presente fattispecie, è vero che il decorso delle cure è stato segnato dall’apparizione di una CRPS di tipo I al piede e alla gamba sinistra, tuttavia dalle carte processuali emerge che la patologia in questione è progressivamente regredita senza lasciare sequele di rilievo. In queste condizioni, può rimanere indeciso se sono soddisfatti il criterio dei dolori somatici persistenti e quello del grado e durata dell'incapacità lavorativa dovuta alle lesioni fisiche, poiché anche se ciò dovesse essere il caso, in presenza di un infortunio di media gravità in senso stretto, la realizzazione di due criteri non potrebbe comunque giustificare l’adeguatezza del nesso di causalità (cfr. RDAT 2003 II n. 67 p. 276, U 164/02 consid. 4.7; RSAS 2001 p. 431, U 187/95). In esito a quanto precede, si deve concludere che le turbe psichiche (così come le difficoltà cognitive risultate prive di sostrato organico oggettivabile) di cui soffre la ricorrente, non costituiscono una conseguenza adeguata dell’evento infortunistico occorsole il 9 febbraio 2015. Se ne deduce quindi che l’assicuratore resistente era legittimato a negare la propria responsabilità al riguardo. Di conseguenza, questi disturbi non potranno essere presi in considerazione nell’ambito della valutazione del diritto alla rendita d’invalidità e all’indennità per menomazione dell’integrità. 2.3. Diritto a una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presente fattispecie, l’assicuratore LAINF convenuto ha negato all’assicurata il diritto a una rendita d’invalidità, facendo essenzialmente capo, per quanto riguarda l’esigibilità lavorativa, alla relativa valutazione espressa dal medico __________ in occasione della visita di chiusura (cfr. doc. 285, p. 7). In quell’occasione, il dott. __________, spec. FMH in chirurgia ortopedica e traumatologia, dopo aver dichiarato che la ricorrente sarebbe in grado di svolgere in misura completa la professione d’impiegata di commercio, per la quale già possiede una formazione, ha così descritto l’esigibilità lavorativa: " (…) L’assicurata può molto spesso sollevare pesi fino a 5 kg fino all’altezza dei fianchi. Spesso pesi fino a 10 kg fino all’altezza dei fianchi. Di rado pesi superiori ai 10 kg ma mai superiori ai 25 kg. Molto spesso può sollevare oltre l’altezza del petto pesi superiori ai 5 kg. Molto spesso può effettuare lavori leggeri di precisione e lavori medi. Di rado lavori pesanti ma mai lavori molto pesanti. Molto spesso può effettuare lavori che comportano la rotazione della mano. Molto spesso può eseguire lavori sopra la testa, lavori con rotazione del busto. Molto spesso può effettuare lavori in posizione seduta/inclinata in avanti e spesso lavori in piedi/inclinati in avanti. Molto spesso può mantenere la posizione inginocchiata ma talvolta la posizione in flessione delle ginocchia. Molto spesso può mantenere la posizione seduta e spesso la posizione in piedi. Molto spesso può camminare per tragitti oltre i 50 m ma solo talvolta per tragitti lunghi, su terreni accidentati e salire e scendere le scale. Di rado può salire e scendere scale a pioli. L’uso delle due mani è possibile. Non vi sono problemi di equilibrio.” (doc. 210, p. 5) Con la propria impugnativa, l’assicurata contesta che il parere del dott. __________ sarebbe atto a dimostrare, con un sufficiente grado di verosimiglianza, che ella potrebbe esercitare l’attività d’impiegata di commercio nella misura del 100%, non disponendo il medico __________ di alcuna specifica formazione in materia d’integrazione professionale (cfr. doc. I, p. 4 s.). 2.3.4. Attentamente vagliato l’insieme della documentazione medica, vista anche l’assenza di pareri specialistici divergenti, il TCA ritiene di poter validamente far capo al parere del medico fiduciario dell’amministrazione , ragione per la quale, tenuto conto del solo danno infortunistico organico oggettivabile (in proposito, cfr. supra consid. 2.2.6. in fine), è da considerare accertato, perlomeno con il grado di verosimiglianza richiesto dalla giurisprudenza federale, che la ricorrente potrebbe svolgere, a tempo pieno e con un rendimento completo, la professione d’impiegata di commercio (per la quale è al beneficio di un attestato federale di capacità [cfr. doc. 112, p. 1] e proprio per esercitare la quale l’assicurazione per l’invalidità ha disposto dei provvedimenti d’intervento tempestivo sotto forma di corsi di formazione [tedesco e informatica; cfr. doc. 126 e doc. 236]). In particolare, questo Tribunale non vede il motivo per cui uno specialista in chirurgia ortopedica e traumatologia che vanta una grande esperienza nella medicina assicurativa (e quindi anche nella valutazione della capacità/esigibilità lavorativa), qual è indubbiamente il dott. __________, dovrebbe incontrare delle difficoltà a immaginare il genere di mansioni che è chiamato a svolgere un impiegato di commercio e a individuare gli eventuali relativi impedimenti risultanti dal danno alla salute infortunistico. Del resto, dal sito web del Centro __________ di __________ (www.__________) risulta che, sebbene il genere di attività possa effettivamente variare da settore a settore (studi legali e notarili, fiduciarie, pubblica amministrazione, assicurazioni, banche, …), resta il fatto che le mansioni che un impiegato di commercio è chiamato a svolgere sono sempre di tipo amministrativo (contatti e relazioni, corrispondenza e documentazione, elaborazione e calcoli, gestione delle informazioni e consulenza, utilizzo delle tecnologie dell’informazione e comunicazione, nonché acquisti e vendite), implicanti quindi un limitato impegno fisico. In queste condizioni, l’insorgente non può essere seguita allorquando rimprovera all’istituto assicuratore resistente di aver omesso di consultare preliminarmente uno specialista in integrazione professionale. 2.3.5. Si tratta ora di valutare le conseguenze economiche del danno alla salute infortunistico. Per quanto concerne il reddito da valido , secondo l’assicuratore infortuni resistente, senza il danno alla salute, la ricorrente, nel 2017, avrebbe realizzato un guadagno annuo lordo pari a fr. 62'500 per un’attività a tempo pieno (cfr. doc. 257, p. 2; in proposito, va evidenziato che per stabilire tanto il reddito da invalido quanto quello da valido, occorre riferirsi a una persona occupata a tempo pieno , indipendentemente dal fatto che prima del sinistro la persona assicurata svolgesse un’attività lavorativa a tempo parziale - cfr. DTF 135 V 287 consid. 3.2 e riferimenti ivi citati). Questo dato – desunto da informazioni fornite direttamente dall’ex datore di lavoro (cfr. doc. 215) e peraltro non contestato dall’insorgente - può essere fatto proprio dal TCA. 2.3.6.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di recente dal TF, segnatamente nella DTF 141 V 1 consid. 5. 2.3.7. Nel caso concreto, dal rapporto di cui al doc. 257 risulta che l’amministrazione ha quantificato in fr. 61'435 il reddito da invalido, applicando la tabella RSS 2014 TA 1, ramo 77, 79-82, livello di qualifica 2, donne, senza operare decurtazioni di sorta né a titolo di gap salariale né a titolo di deduzione sociale. Utilizzando quindi i dati forniti dalla tabella RSS 2014 TA 1 (al momento in cui è stata emanata la decisione su opposizione impugnata, l’edizione più recente della tabella TA 1 a disposizione dell’amministrazione, era appunto quella del 2014 – cfr. STF 8C_228/2017 del 14 giugno 2017 consid. 4.1.7), l’assicurata, lavorando nel 2014 nel ramo delle attività amministrative e dei servizi di supporto (livello di qualifica 2) nel settore privato svizzero (a proposito della rilevanza delle condizioni salariali nel settore privato, cfr. RAMI 2001 U 439, p. 347ss. e SVR 2002 UV 15, p. 47ss.), avrebbe potuto realizzare, in media, un salario mensile lordo pari a fr. 4'811. Riportando questo dato su 42.1 ore , esso ammonta a fr. 5'063.57 mensili oppure a fr. 60'762.84 per l'intero anno (fr. 5'063.57 x 12). Dopo adeguamento all'indice dei salari nominali, si ottiene, per il 2017, un reddito annuo di fr. 61'005.89. Per quanto riguarda la questione del gap salariale, va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Nel caso di specie, al momento in cui è stata emanata la decisione su opposizione impugnata, non esisteva ancora un contratto collettivo di lavoro dei negozi delle stazioni di servizio in Svizzera (entrato in vigore soltanto il 1° febbraio 2018), ragione per la quale la determinazione dell’eventuale gap salariale va eseguita prendendo in considerazione il salario statistico usuale nel settore (e quindi non il salario minimo d’assunzione risultante dal contratto collettivo di lavoro). L’assicurata, quale dipendente della __________, avrebbe realizzato nel 2017 un reddito annuo di fr. 62'500 per un’occupazione a tempo pieno. Tale reddito si situa sopra il salario medio nazionale per un'attività equivalente (cioè fr. 55'804; cfr. Tabella TA 1 2014, p.to 47 “ Commercio al dettaglio ”, livello di qualifica 2, donne: fr. 4'380 riportato su 41.8 ore/settimana = fr. 4'577.10 x 12 mesi = fr. 54'925.20 e aggiornato al 2017), ragione per la quale non vi è spazio per una decurtazione del reddito statistico da invalido a titolo di gap salariale.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non ha applicato alcuna riduzione sul reddito statistico da invalido, precisando che “… le limitazioni fisiche non hanno nessun influsso nell’attività amministrativa.” (doc. 257, p. 1). Da parte sua, la ricorrente non ha sollevato alcuna specifica obiezione in proposito (cfr. doc. I). Tenuto conto del riserbo di cui deve dare prova il giudice delle assicurazioni sociali nel sostituire il proprio apprezzamento a quello dell’amministrazione (cfr. DTF 137 V 71, 132 V 393 consid. 3.3), questo Tribunale ritiene di poter condividere l’agire dell’amministrazione. Del resto, anche volendo applicare una decurtazione del 5% per tenere conto del danno alla salute infortunistico (la sola che potrebbe eventualmente entrare in linea di conto), il grado d’invalidità non raggiungerebbe comunque la soglia minima legale. Il reddito da invalido ammonta dunque a fr. 61'005.89 . Il grado di invalidità dell’assicurata - stabilito confrontando i fr. 61'005.89 al reddito che ella avrebbe potuto conseguire se non fosse intervenuto l’infortunio, e cioè fr. 62'500 – risulta essere del 2.39%, arrotondato al 2% secondo la giurisprudenza di cui alla DTF 130 V 121 consid. 3.2. Visto che il grado dell’invalidità non raggiunge la soglia minima legale del 10% (cfr. art. 18 cpv. 1 LAINF), a ragione l’assicuratore resistente ha negato all’assicurata il diritto alla rendita. 2.4. Diritto a un’IMI?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L’assicuratore LAINF resistente, sentito il parere del proprio medico __________, ha rifiutato l’assegnazione alla ricorrente di un’IMI (cfr. doc. 285, p. 9). A margine della visita di chiusura del 17 gennaio 2017, il dott. __________ ha in effetti negato che fossero adempiuti i presupposti per riconoscere l’esistenza di una menomazione importante e durevole dell’integrità fisica (cfr. doc. 210, p. 5). Prima di procedere all’emanazione della decisione su opposizione impugnata, l’amministrazione ha ancora invitato il medico fiduciario in questione a motivare il proprio parere. Con apprezzamento del 12 giugno 2017, il dott. __________ ha enunciato in particolare le seguenti considerazioni: " (…) Secondo la tabella 18.2 rispettivamente 18.3 una IMI per un danno della cute viene attribuita solo per lesioni estetiche particolarmente importanti. Pongo qui l’esempio di un difetto dei capelli che dà diritto a un 5%. Dermatosi grave a livello delle mani dà diritto altresì al 5%. Depigmentazione delle mani 10%. Mancanza di un padiglione auricolare 10%. Nella situazione attuale, soprattutto dopo l’intervento eseguito dalla dott.ssa med. __________ anche in base alle fotografie sottopostemi, residua ancora una cicatrice in fase di guarigione a livello posteriore della gamba sinistra che secondo il mio parere non costituisce un danno estetico importante da giustificare una attribuzione della IMI almeno del 5%. Anche le altre patologie della gamba, in particolare la caviglia, non costituiscono secondo il mio giudizio i presupposti di una IMI. Il risultato cosmetico dopo l’intervento eseguito dalla dott.ssa med. __________ è veramente molto buono, confermo quindi la mia presa di posizione per quanto riguarda il non riconoscimento di una IMI.” (doc. 278, p. 3 s.) Con la propria impugnativa l’insorgente, dal profilo formale, lamenta una violazione del diritto di essere sentito a causa di una carente motivazione della decisione impugnata mentre, nel merito, contesta genericamente la fondatezza della valutazione espressa dal medico __________ (cfr. doc. I). A proposito della pretesa violazione del diritto di essere sentito , va rilevato che, per costante giurisprudenza, il diritto di essere sentito comprende pure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tale fine, ogni atto decisionale deve menzionare, anche se brevemente, le considerazioni che hanno determinato il convincimento, ritenuto comunque che l'autorità non è tenuta a prendere esplicitamente posizione su ogni allegazione di fatto o di diritto, ma può limitarsi ai punti essenziali e all'esame delle argomentazioni di parte atte a influire sul giudizio (cfr. DTF 121 III 331 consid. 3b, 118 V 58; STF 2A.418/2001 del 5 marzo 2002, parzialmente pubblicata in PRA 8/2002, p. 679 ss.; Kölz/Häner, Verwaltungsverfahren und Verwaltungsrechtspflege des Bundes, Zurigo 1993, p. 100; M. Albertini, Der verfassungsmässige Anspruch auf rechtliches Gehör im Verwaltungsverfahren des modernen Staates, Berna 2000, p. 368 ss.). Nella concreta evenienza, il TCA constata che dalla decisione su opposizione del 20 giugno 2017 emergono in modo chiaro le ragioni per cui a RI 1 è stato negato il diritto a un’IMI. L’amministrazione ha in effetti fatto esplicito riferimento ai motivi contenuti nell’apprezzamento 12 giugno 2017 del dott. __________, ai quali ha riconosciuto pieno valore probatorio (cfr. doc. 285, p. 9). In queste circostanze, la censura di decisione immotivata deve essere senz’altro respinta. Per quanto concerne il merito, chiamata a pronunciarsi su una questione di carattere squisitamente medico, constatato che agli atti non figura alcuna divergente valutazione specialistica, questa Corte ritiene che l’apprezzamento della menomazione all’integrità espresso dal chirurgo ortopedico dott. __________, possa validamente costituire da fondamento al proprio giudizio. Il TCA ricorda in particolare che i disturbi psichici e quelli neuropsicologici, nella misura in cui non costituiscono delle conseguenze adeguate dell’evento traumatico del febbraio 2015 (cfr. supra consid. 2.2.6. in fine), non possono essere presi in considerazione nella valutazione della menomazione dell’integrità. In conclusione, anche per quanto riguarda il diritto all’IMI, il ricorso di RI 1 non può dunque essere accolto.</w:t>
      </w:r>
    </w:p>
    <w:p>
      <w:r>
        <w:rPr>
          <w:b/>
        </w:rPr>
        <w:t>E. 36</w:t>
      </w:r>
    </w:p>
    <w:p>
      <w:r>
        <w:t>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2.4.3.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2.4.4.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2.4.5.   Lassicuratore LAINF resistente, sentito il parere del proprio medico __________, ha rifiutato lassegnazione alla ricorrente di unIMI (cfr. doc. 285, p. 9).</w:t>
      </w:r>
    </w:p>
    <w:p>
      <w:r>
        <w:t>A margine della visita di chiusura del 17 gennaio 2017, il dott. __________ ha in effetti negato che fossero adempiuti i presupposti per riconoscere lesistenza di una menomazione importante e durevole dellintegrità fisica (cfr. doc. 210, p. 5).</w:t>
      </w:r>
    </w:p>
    <w:p>
      <w:r>
        <w:t>Con la propria impugnativa linsorgente, dal profilo formale, lamenta una violazione del diritto di essere sentito a causa di una carente motivazione della decisione impugnata mentre, nel merito, contesta genericamente la fondatezza della valutazione espressa dal medico __________ (cfr. doc.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