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35.2017.76 vom 4. Oktober 2018</w:t>
      </w:r>
    </w:p>
    <w:p>
      <w:r>
        <w:t>TI Tribunale d'appello, 2018-10-04, IT</w:t>
      </w:r>
    </w:p>
    <w:p>
      <w:r>
        <w:rPr>
          <w:b/>
        </w:rPr>
        <w:t xml:space="preserve">Quelle: </w:t>
      </w:r>
      <w:r>
        <w:t>https://mcp.opencaselaw.ch/entscheid/ti_gerichte_35.2017.76</w:t>
      </w:r>
    </w:p>
    <w:p>
      <w:r>
        <w:t>FR: TI_GERICHTE 35.2017.76 du 4 octobre 2018</w:t>
      </w:r>
    </w:p>
    <w:p>
      <w:r>
        <w:t>IT: TI_GERICHTE 35.2017.76 del 4 ottobre 2018</w:t>
      </w:r>
    </w:p>
    <w:p>
      <w:pPr>
        <w:pStyle w:val="Heading2"/>
      </w:pPr>
      <w:r>
        <w:t>Regeste</w:t>
      </w:r>
    </w:p>
    <w:p>
      <w:r>
        <w:t>Stabilizzazione 2017. Reddito da invalido (dati statistici). Gap salariale. No rendita. IMI 5% confermata</w:t>
      </w:r>
    </w:p>
    <w:p>
      <w:pPr>
        <w:pStyle w:val="Heading2"/>
      </w:pPr>
      <w:r>
        <w:t>Erwägungen</w:t>
      </w:r>
    </w:p>
    <w:p>
      <w:r>
        <w:rPr>
          <w:b/>
        </w:rPr>
        <w:t>E. 5</w:t>
      </w:r>
    </w:p>
    <w:p>
      <w:r>
        <w:t>%. Preliminarmente v a qui ricordato che, in virtù del principio inquisitorio, il TCA è tenuto a prendere in considerazione ogni mezzo di prova - anche se prodotto intempestivamente - nella misura in cui esso si rivela essere in qualche modo rilevante ai fini di un corretto e puntuale chiarimento di fatti giuridicamente importanti; determinante non è la provenienza di un mezzo di prova ma il suo contenuto (cfr. STCA 26.1999.119 del 24 gennaio 2000, consid. 2.2, confermata con STF K 22/00 del 30 novembre 2000). Del resto un accertamento insufficiente della fattispecie giuridicamente rilevante costituisce una violazione del principio inquisitorio (cfr. STCA 35.2016.84 del 18 luglio 2017, c. 2.4). Inoltre, p er costante giurisprudenza, il giudice delle assicurazioni sociali valuta la legalità della decisione deferitagli sulla base della situazione di fatto esistente al momento in cui essa venne emanata ( in casu , il 1° giugno 2017),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sentenza 8C_402/2015 del 29 febbraio 2016, consid. 5.3 in fine, con riferimento alla DTF 132 V 215, consid. 3.1.1 pag. 220). Stante quanto precede, i documenti medici prodotti dalle parti successivamente al 1° giugno 2017 ( data questa, giova ribadire, di emanazione della decisione impugnata che segna il limite temporale del potere cognitivo del giudice delle assicurazioni sociali) - e, quindi, sia quelli versati agli atti dalla patrocinatrice dell'assicurato (da ultimo, il certificato medico del 17 luglio 2018 del dr. med. __________) sia quelli prodotti dall'CO 1 (da ultimo, l'apprezzamento ortopedico del 27 agosto 2018 del dr. med. __________) - vengono presi in considerazione ai fini del giudizio quali elementi di accertamento retrospettivo della situazione anteriore alla decisione resa, nella misura in cui vengono giudicati rilevanti. Ne discende che l'eccezione procedurale (di chiaro stampo civilistico) presentata il 20 settembre 2018 dalla rappresentante del ricorrente, consistente nella richiesta di estromissione del doc.  XXIII+1 poiché prodotto tardivamente, è respinta. 2.2. Condizioni di salute infortunistiche stabilizzate al 1° maggio 2017? 2.2.1.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2.2.2.   Nel caso di specie, preso atto dei risultati della visita medica __________ di chiusura del 13 marzo 2017, eseguita dal dr. med. __________, specialista FMH in chirurgia (doc. 351), il 31 marzo 2017 l'CO 1 ha comunicato all’assicurato la sospensione delle prestazioni (spese di cura e indennità giornaliera), a decorrere dal 1° maggio 2017, ritenuto che, in base alla documentazione medica agli atti, il suo stato di salute era ormai da considerare stabilizzato (" a dipendenza dell'infortunio in oggetto le risorse mediche per un ulteriore sensibile miglioramento del suo stato di salute siano da ritenersi praticamente esaurite "). Il TCA non ha motivo di scostarsi da quanto ritenuto dall'CO 1. In effetti dalla documentazione medica agli atti emerge che RI 1 si è sottoposto il 17 maggio 2016 ad una artroscopia con débridement e cheloidectomia anteriore, asportazione residuo osseo, escissione LFTA e reinserzione dell'LFTA secondo tecnica di Broström Gould ad opera del dr. med. __________ presso la __________ di __________ (doc. 294 e 295). Il 9 giugno 2016 il dr. med. __________ ha cambiato il gesso post-operatorio con uno stivale gessato da portare per 3 settimane ed ha attestato: " Fristgerechter Verlauf. Problemlose Fadenentfernung. Es bleint bei den geplanten Kontrollen mit Gipsentefernung in 3 Wochen und Wechsel auf ASO-OSG- Schnürbandage sowie Einleitung von Physiotherapie " (doc. 297). Durante la visita di controllo del 30 giugno 2016 il dr. med. __________ ha costatato la diminuzione del dolore, nonostante il persistere del dolore e del gonfiore alla caviglia, ed ha concluso: " Nach klinischer radiologicher Untersuchung zeigt sicher in regelrechter Befund 6 Wochen nach den obengenanntem operativen Vorgehen. Der Patient erhält eine ASO-OSG- Schnürbandage sowie Einleitung einer Physiotherapie. Die Physiotherapie zur langsamen Aufbelastung bis zur sicheren Vollbelastung sowie zum Kraftaufbau. Nächste Kontrolle ist in 3 Wochen geplant. " (doc. 298). Durante la visita di controllo del 14 luglio 2016 il dr. med. __________ ha accertato un miglioramento continuo ed ha puntualizzato: " Fristgerechter Verlauf. Weiterführen der Therapie und eigenen Uebungen. Klinische Verlaufskontrolle in ca. 3-4 Monaten. " (doc. 303). Al termine della visita di controllo del 21 ottobre 2016 il dr. med. __________ ha osservato: " Insgesamt erfreulicher und fristgerechter Verlauf. Weiterhin Mobilisation nach massgabe der Beschwerden unter Fortführung der Physiotherapie und Uebungen in eigenregie. Wir planen eine Abschlusskontrolle ein jahr postoperativ. Bei diesem Möbeltransporteur AUF noch für etwa 2 Wochen, dann Arbeitsversuch mit 50% für 2 Monate " (doc. 317). Su richiesta del 1° dicembre 2016 dell'CO 1 (doc. 326), il 6 dicembre 2016 il dr. med. __________ ha puntualizzato: " Ab 08.11.2016 ist Herr RI 1 zu 50% arbeitsfähig. Dies bedeutet volle belastung jedoch nur halbtags, vorzugsweise vormittags " (doc. 329). Al termine della visita medico-circondariale del 9 gennaio 2017, il dr. med. __________ - dopo avere rilevato che " Al momento attuale la fisioterapia è terminata, la situazione è decisamente migliorata per cui si consiglia all'assicurato di riprendere a forzare moderatamente e gradualmente l'articolazione con una costante riabilitazione al passo. Per il momento non necessita di ulteriori terapie se non di questa ripresa funzionale " (doc. 334, pag. 7) - ha concluso che " Visto il miglioramento effettuato si dichiara l'assicurato abile al 75% e sarà rivisto all'incirca tra un paio di mesi " (doc. 334, pag. 7). Al termine della visita medico-circondariale del 13 marzo 2017, il dr. med. __________ - dopo avere rilevato che la visita medico-circondariale era " sostanzialmente analoga alla precedente " (doc. 351, pag. 6) e che " Al momento attuale la situazione è decisamente stabilizzata, non fa più fisioterapia, non ci sono ulteriori motivazioni per prolungare lo stato di malattia. Al momento attuale non necessita quindi di ulteriori terapie se non un paio di volte all'anno per circa 2 anni cicli di fisioterapia per mantenere essenzialmente lo stato raggiunto " (doc. 351, pag. 7) - ha concluso che " Al momento attuale l'assicurato viene ritenuto idoneo in misura massima possibile " nell'esigibilità posta (doc. 351, pag. 7). Il 4 aprile 2017 il dr. med. __________ ha osservato: " Herr RI 1 hat am 18.05.2017 eine Konsultationstermin. Bis zu diesem Termin kann ich nicht beurteilen ob die Behandlung abgeschlossen sein wird " (doc. 355). Al termine della visita di controllo del 18 maggio 2017 il dr. med. __________ ha concluso: " Insgesamt erfreulicher Verlauf. Es persistieren Restbeschwerden, welche möglicherweise im Rahmen einses residuellen antero-lateralen Impingement bestehen sowie einer residuellen ligamentären Instabilität sowie muskulärer Dekonditionierung aufgrund der präoperativ bestehenden jahrelangen Schonung des Beines. Es erfolg heute eine diagnostisch/therapeutische Infiltration des OSG und der antero-lateralen Weichteile mit Bupivacain und Diprophos (…). Ich empfehle die Uebungen weiter beizubehalten. In einem vowiegenden sitzenden Beruf ist Herr RI 1 100% arbeitsfähig, in einem körperlichbelasten Beruf mit vorwiegend Stehen, laufen und Tragen sowie unebenem Untergrund aktuell meiner Einschätzung nach max 50% arbeitsfähig. Der weitere Verlauf bleibt abzuwarten. Sollte sich in Zukunft die residuell ligamentäre Instabilität als relevant herausstellen, müsste ggf. Eine Augmentation des Seitenband-Apparates diskutiert werden " (doc. 362). Tutto ben considerato, precisato che, secondo la giurisprudenza federale, occorre procedere a una valutazione prospettica della questione della stabilizzazione , ponendosi al momento in cui le prestazioni sono state interrotte (dunque, in casu , nel mese di maggio 2017; cfr. RAMI 2005 U 557 p. 388; STF 8C_651/2016 del 15 dicembre 2016 consid. 4.1, 8C_184/2017 del 13 luglio 2017 consid. 2.2, 8C_303/2017 del 5 settembre 2017 consid. 6.3.1; STCA 35.2017.68 del 27 novembre 2017, consid. 2.3.3), il TCA ritiene di poter condividere il parere del medico fiduciario, distanziandosi nel contempo dalle obiezioni sollevate in proposito dalla patrocinatrice dell’insorgente. In effetti, dalla documentazione medica precedentemente esposta non emerge che, all’epoca in cui l’assicuratore ha dichiarato estinto il diritto alle prestazioni di corta durata, entrassero ancora in linea di conto dei provvedimenti terapeutici suscettibili di migliorare notevolmente le condizioni di salute infortunistiche ai sensi della succitata DTF 134 V 109, tenuto conto che già a quel momento RI 1 era definitivamente inabile all’esercizio della sua abituale professione di "traslocatore", mentre presentava una piena capacità lavorativa in attività sostitutive adeguate (aspetto quest’ultimo che verrà meglio definito nei considerandi che seguono). Non permette di giungere a diversa conclusione il fatto che l'assicurato abbia continuato in seguito a sottoporsi a visite di controllo. Parimenti dicasi per l'infiltrazione diagnostica-terapeutica eseguita il 18 maggio 2017 rispettivamente per l'eventuale intervento prospettato al 18 maggio 2017 e a tutt'oggi non ancora resosi necessario. Non consente di giungere ad una conclusione differente neppure la svariata documentazione medica (in particolare, doc. C, D, E, F G e doc. XIX+1 ) prodotta in questa sede dalla patrocinatrice dell'assicurato. Del resto, con espresso riferimento al rapporto del 17 luglio 2018 di cui al doc. XIX+1, i dr. med. __________ e __________ della __________ di __________, hanno rilevato quanto segue: " Therapeutisch seit</w:t>
      </w:r>
    </w:p>
    <w:p>
      <w:r>
        <w:rPr>
          <w:b/>
        </w:rPr>
        <w:t>E. 10</w:t>
      </w:r>
    </w:p>
    <w:p>
      <w:r>
        <w:t>tagen Physio-und Ergotherapie (…). Bei dem 44-jährigen Patienten bestehen seit oben beschribener Operation in Mai 2016 intermittierende belastungsabhängige Schmerzen im Bereich des malleolus lateralis des linken Fusses. Vor der Operation waren diese nach einem Treppensturz im Jahre 2012 kontinuerlich vorhanden ". Sempre con espresso riferimento al citato rapporto, il dr. med. __________, nell'apprezzamento ortopedico del 27 agosto 2018 di cui al doc.  XXIII+1, ha osservato quanto segue: " Nell'ultimo reperto del 17 luglio 2018, pure se ci sono ancora disturbi lamentati, questi possono comunque essere ritenuti molto limitati, poiché possiamo evincere di questo rapporto che il signor RI 1 non prende terapia antalgica regolare e che egli è in grado di praticare diverse attività fisiche, esse provocando i sintomi che sono altrimenti assenti. In base a queste informazioni, in base allo stato clinico riferito a livello della caviglia, sia dal dott. __________, sia dal dott. __________ e in considerazione dell'esito degli esami complementari (ultimo esame RM il 28 maggio 2018), non vedo per quale motivo si dovrebbe considerare una qualche limitazione di capacità lavorativa nel quadro dell'esigibilità fisica definita dal dott. __________. (…). I documenti medici trasmessi dopo la decisione su opposizione del 1° giugno 2017 non comportano elementi di natura medica suscettibili di rimettere in questione le conclusioni del dott. __________ in seguito a due valutazioni cliniche a due mesi di distanza " (cfr. pag. 5 e 6) A fronte di una questione squisitamente medica, il TCA non ha motivo neppure di scostarsi da quanto osservato dal medico fiduciario, specialista che vanta un’ampia esperienza in materia di medicina assicurativa e infortunistica, che ha sostanzialmente confermato la precedente valutazione del dr. med. __________ e, quindi, anche l'intervenuta stabilizzazione dello stato di salute dell'assicurato da lui attestata al termine della visita medico circondariale di chiusura del 13 marzo 2017. Tanto più che neppure la patrocinatrice dell’assicurato è stata in grado di evidenziare motivi atti ad imporre al TCA di scostarsi dall’apprezzamento espresso dal medico di fiducia dell’assicuratore resistente. D'altra parte la valutazione dello specialista interpellata dall'CO 1 non è stata smentita da certificati medico-specialistici, ma unicamente dal parere della rappresentante legale dell'assicurato, che ha il valore di una semplice dichiarazione di parte e non può quindi essere condivisa dal TCA. Con espresso riferimento alla critica mossa all'operato del dr. med. __________, per aver formulato le proprie considerazioni del 27 agosto 2018 basandosi solo sulla lettura degli atti senza avere personalmente visitato l'assicurato, giova in ogni caso qui ricordare che, di norma, una valutazione sulla base dei soli atti medici (“ Aktegutachten ”)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 2.5 e rinvii giurisprudenziali ivi citati). In esito alle considerazioni che precedono (in particolare, condividendo questa Corte la conclusione dell’Istituto assicuratore secondo cui, in data 1° maggio 2017, lo stato di salute infortunistico era stabilizzato ai sensi dell’art. 19 cpv. 1 LAINF e della relativa giurisprudenza ), all’amministrazione non può dunque essere rimproverato di aver prematuramente proceduto alla definizione delle prestazioni di lunga durata (rendita d’invalidità + IMI), con conseguente estinzione del diritto alla cura medica e all’indennità giornaliera. D ata la stabilizza-zione delle condizioni di salute infortunistiche, l’assicuratore LAINF convenuto era quindi legittimato a porre fine alle prestazioni di corta durata (cura medica e indennità giornaliera) e a valutare il diritto alle prestazioni di lunga durata. 2.3. Diritto a una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a causa dell'infortunio dell'8 gennaio 2012, RI 1 si è sottoposto l'11 novembre 2013 ad un'artroscopia diagnostica della caviglia sinistra con artrolisi e sinoviectomia parziale antero/laterale ad opera del dr. med. __________ presso la __________ di __________ (doc. 124 e 125) e, a causa della sintomatologia post-infortunistica a livello della caviglia sinistra, il 17 maggio 2016 ad un’artroscopia con débridement e cheloidectomia anteriore, asportazione residuo osseo, escissione LFTA e reinserzione dell'LFTA secondo tecnica di Broström Gould ad opera del dr. med. __________ presso la __________ di __________ (doc. 294 e 295). Per chiarire la questione riguardante l'esigibilità lavorativa, l'Istituto assicuratore ha fatto capo alla visita medica __________ di chiusura del 13 marzo 2017, eseguita dal dr. med. __________, specialista FMH in chirurgia (doc. 351), giusta il quale: " (…) Aspetti medico-assicurativi Al momento attuale l'assicurato viene ritenuto idoneo in misura massima possibile nella seguente esigibilità lavorativa. Esigibilità del lavoro L'assicurato non ha nessuna limitazione funzionale per sollevare e portare pesi molto leggeri e leggeri fino a 5-10 kg fino all'altezza dei fianchi, talvolta può sollevare pesi medi da 10 fino a 25 kg fino all'altezza dei fianchi, di rado può sollevare pesi pesanti (25-45 kg) fino all'altezza dei fianchi, mai può sollevare pesi molto pesanti superiori ai 45 kg fino all'altezza dei fianchi, nessuna limitazione per sollevare oltre l'altezza del petto pesi fino a 5 kg o sollevare oltre l'altezza del petto pesi superiori ai 5 kg. Nessuna limitazione per il maneggio di attrezzi leggeri e di precisione o medio, talvolta può effettuare lavoro pesante manuale rozzo, di rado può effettuare lavoro molto pesante, la rotazione della mano non ha nessuna limitazione. Per quanto riguarda la posizione e la mobilità, nessuna limitazione per effettuare lavori sopra la testa che comportino la rotazione del tronco, la posizione seduta e inclinata in avanti, la posizione in piedi e inclinata in avanti, di rado può tenere la posizione inginocchiata, spesso può effettuare una flessione sulle ginocchia. Nessuna limitazione per la posizione seduta, in piedi e di libera scelta, nessuna limitazione per camminare da 50 metri in su e mentre solo talvolta può camminare per lunghi tratti, mai può camminare su terreno accidentato, spesso può salire le scale, talvolta può salire su scale a pioli. L'uso delle due mani è consentito senza nessuna limitazione, talvolta può stare in equilibrio a condizione. " (doc. 351, pag. 7 e 8). Tenuto conto delle indicazioni fornite dal proprio specialista di fiducia nella visita medica __________ di chiusura del 13 marzo 2017 (doc. 351), l’assicuratore LAINF ha quindi ritenuto che RI 1 andava considerato abile al lavoro al 100% (con rendimento pieno) in un lavoro molto leggero, osservando le limitazioni fisiche poste dal medico __________ (quali, ad es., l'addetto alla lucidatura d'orologi, il cassiere, l'estrusore per stampaggio ad iniezione o l'addetto alla spedizione) e, quindi, con decisione formale del 20 aprile 2017, ha rifiutato di accordargli una rendita di invalidità, a fronte di un grado di invalidità del 5.48 % (doc. 356). Il 18 maggio 2017 il dr. med. __________ ha concluso: " (…) In einem vowiegenden sitzenden Beruf ist Herr RI 1 100% arbeitsfähig, in einem körperlichbelasten Beruf mit vorwiegend Stehen, Laufen und Tragen sowie unebenem Untergrund aktuell meiner Einschätzung nach max 50% arbeitsfähig. (…) " (doc. 362). A seguito dell'opposizione inoltrata il 24 maggio 2017 dall'assi-curato, patrocinato dall'avv. RA 1 (doc. 364), l'CO 1 - dopo avere fatto propria l'esigibilità posta dallo specialista d'oltralpe - con decisione su opposizione del 1° giugno 2017 ha confermato la precedente decisione, negando all’assicurato una rendita LAINF a fronte di un grado di invalidità del 9.05 % (doc. 369). Nella concreta evenienza questo Tribunale ritiene di far propria l'esigibilità stabilita dallo specialista d'oltralpe (medico operatore e curante dell'assicurato) e posta alla base della decisione avversata. Tanto più che la stessa - oltre a non essere stata smentita da certificazioni mediche specialistiche in questa sede (ma solo attraverso il parere della patrocinatrice dell'assicurato che ha semplice valenza di dichiarazione di parte e che, pertanto, questa Corte non condivide) - risulta plausibile anche alla luce dei precedenti giurisprudenziali, riguardanti assicurati che accusavano limitazioni nell'utilizzo degli arti inferiori (cfr. a questo proposito, STCA 35.2017.111 del 20 giugno 2018, consid. 2.4.5, e rinvii giurisprudenziali ivi citati).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Del resto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Questo Tribunale è dell’opinione che le limitazioni derivanti dal danno alla salute infortunistico non impedirebbero all'assicurato, su di un mercato equilibrato del lavoro, di svolgere un'attività lavorativa (ad es. di controllo e di sorveglianza ), a tempo pieno e con un rendimento completo, compatibile con le limitazioni derivanti dal danno alla salute infortunistico (leggera e prevalentemente sedentaria). In siffatte circostanze il Tribunale non condivide le critiche mosse dalla patrocinatrice dell'assicurato all'operato del medico __________, motivo per le quali tutte le censure sollevate al riguardo sono respinte. In esito alle considerazioni che precedono, il TCA rinuncia quindi all'assunzione di ulteriori prove, ritenendo la situazione sufficientemente chiarita. Va qui pure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2.4.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2017 (data di stabilizzazione dello stato di salute infortunistico dell'assi-curato: 1° maggio 2017; cfr. doc. 353; cfr. consid. 2.2.2). 2.5.   Per quanto concerne il reddito da valido, secondo l’istituto assicuratore, l’insorgente avrebbe guadagnato nel 2017, qualora non fosse rimasto vittima dell'infortunio assicurato, un importo annuo pari a fr. 50'674.- (doc. 368). Questo dato è stato desunto dalle indicazioni fornite direttamente dal datore di lavoro (doc. 349). La patrocinatrice dell'assicurato asserisce che il suo cliente, tenuto anche conto dei salari medi per professioni analoghe fissati in fr. 67'656.27 annui, avrebbe potuto incrementare il suo reddito ed in ogni caso di almeno fr. 800.- mensili, anche rimanendo presso l'ex datore di lavoro, continuando a lavorare a tempo pieno, con disponibilità a svolgere incarichi straordinari. Sennonché, in assenza di qualsivoglia indizio concreto in tal senso, la sua risulta essere una mera dichiarazione di parte, che non viene pertanto condivisa dal TCA. O ccorre infatti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Il "reddito da valido" per il 2017 ammonta quindi a fr. 50 '674.-. 2.6.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 dopo aver rilevato che la soluzione secondo la quale l’assicuratore è libero di scegliere l’uno o l’altro metodo non è soddisfacente ed avere sottolineato la difficoltà a stabilire un ordine di priorità posto che entrambi i metodi presentano dei vantaggi e degli svantaggi - ha formulato alcuni requisiti qualitativi, oltre all’edizione di almeno cinque schede DPL, volti a garantire la rappresentatività dei profili DPL e, dunque, dei dati salariali che ne risultano. In ossequio a tale giurisprudenza, l’assicuratore è tenuto a fornire indicazioni sul numero totale dei posti di lavoro entranti in linea di conto, così come sul salario più elevato, su quello più basso, nonché su quello medio del gruppo cui è fatto riferimento. In caso contrario, non è possibile fondarsi sulle DPL ma si deve far capo ai dati statistici salariali dell'ISS. In una sentenza 8C_790/2009 del 27 luglio 2010 consid. 4.3, il Tribunale federale ha ritenuto auspicabile che l’INSAI produca un estratto della banca dati DPL, nel caso in cui stabilisca il reddito da invalido in base ai dati statistici, e ciò per non alimentare il sospetto che esso si sia fondato su questi ultimi in funzione del risultato desiderato. Questa giurisprudenza è stata confermata anche recentemente dal TF, segnatamente in DTF 139 V 592 e nelle sentenze 8C_107/2014 del 24 luglio 2014 al consid. 4.2, 8C_448/2014 del 29 dicembre 2014 al consid. 5.2, 8C_215/2015 del 17 novembre 2015 al consid. 4.1, 4.3, 4.6, 8C_430/2014 del 21 dicembre 2015 al consid. 2.2, 4.3, 4.4, 4.5 e 4.6, e 8C_898/2015 del 13 giugno 2016 al consid. 3.3. In merito al requisito di rappresentatività dei profili DPL, per prassi, l’assicuratore resistente lo ritiene adempiuto segnatamente quando, in un caso concreto, le corrispondenze trovate sono almeno 25 (in proposito, si veda Stefan A. Dettwiler, Suva "DAP"t nicht im Dunkeln - Invalidenlohnbemessung anhand konkreter Arbeitsplätze (DAP) in SZS 2006, p. 6ss., p. 13 : “In qualitativer Hinsicht hat das EVG vier Zusatzangaben verlangt, wobei hier die Zusatzangaben nach der gesamten Zahl (= Treffer) eine wichtige Rolle spielt. Wie hoch muss jedoch diese Zahl sein, um dem Erfordernis nach “Repräsentativität“ zu genügen? Die Suva geht davon aus, dass bei einer gesamten Zahl (= Treffer) von mindestens 25 diesem Erfordernis nach Repräsentativität genügend Rechnung getragen wird . Folglich muss die oben unter den neuen Anforderungen gennante gesamte Anzahl (= Treffer) von DAP-Blättern mindestens 25 betragen.“ - il corsivo è della redattrice; cfr. STCA 35.2014.20 del 28 luglio 2014). Nell'appena citata STCA 35.2014.20 del 28 luglio 2014, cresciuta incontestata in giudicato, questo Tribunale ha ritenuto non censurabile la precitata prassi dell’INSAI, secondo cui il requisito di rappresentatività è soddisfatto quando sono almeno 25 le DPL che entrano in considerazione in un caso concreto.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(STCA 35.2016.57 del 9 gennaio 2017, consid. 2.7.2).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STCA 35.2016.37 del 23 novembre 2017, consid. 2.9). Per quanto riguarda la questione del gap salariale, va pure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STCA 35.2017.84 del 19 febbraio 2018, consid. 2.4.7.). 2.6.1.   Nella presente fattispecie, l'CO 1, nella decisione del 20 aprile 2017, aveva stabilito un reddito "da invalido" nel 2017 di fr. 47'898.- determinato in base alle DPL (doc. 356), sulla base dell'esigibilità posta dal medico di circondario al termine della visita medico__________ di chiusura del 13 marzo 2017 (doc. 351). A seguito dell'opposizione inoltrata il 24 maggio 2017 dall'assicurato, patrocinato dall'avv. RA 1 (doc. 364), l'CO 1 ha fissato un reddito "da invalido" nel 2017 di fr.  46'088.- (stabilito sulla base della TA1 2014, uomini, livello 1 di competenze, riportato un orario medio di lavoro settimanale nelle aziende di 41,7 ore computabili nel 2014 ed aggiornato al 2017, applicando una deduzione a titolo di gap salariale del 24.31% - pari a 29.31% dedotta la soglia del 5% - e una decurtazione sociale del 10%), sulla base dell'esigibilità posta dal dr. med. __________ nel rapporto del 18 maggio 2017 (doc. 362). Nel gravame la rappresentante dell'assicurato ha stigmatizzato l'operato dell'CO 1 per aver preso in considerazione delle attività (addetto alla lucidatura d'orologi, cassiere, estrusore per stampaggio ad iniezione o addetto alla spedizione) che appaiono assai limitate e improbabili nel mercato del lavoro attuale. Motivo per il quale non potevano entrare in considerazione quali attività da proporre al suo cliente. La patrocinatrice del ricorrente ha contestato l'operato della CO 1 anche per non aver ottemperato in concreto all'obbligo di produrre almeno cinque DPL e di fornire indicazioni sul numero totale dei posti di lavoro entranti in linea di considerazione, a dipendenza dell'impedimento concreto, come pure sul salario più elevato, su quello più basso, nonché su quello medio del gruppo cui è fatto riferimento. Per tutti questi aspetti la decisione, carente dal profilo formale, dovrebbe essere annullata. Il TCA osserva che nella decisione avversata l’assicuratore convenuto ha fissato il reddito da invalido dell'assicurato in base ai dati statistici e che era legittimato a rinunciare a quantificarlo in base alle DPL, in quanto il numero di schede entranti in linea di conto alla luce dell’esigibilità lavorativa tracciata dal dr. med. __________ ( 21 - cfr. estratto di cui al doc. 368, p. 5) va considerato insufficiente per rappresentare adeguatamente il mercato equilibrato del lavoro (sul tema, si veda la STCA 35.2014.20 del 28 luglio 2014 consid. 2.7, la STCA 35.2016.57 del 9 gennaio 2017 consid. 2.7.3 e la STCA 35.2017.84 del 19 febbraio 2018 consid. 2.4.7, cresciute incontestate in giudicato). Questa Corte rileva pure che nel gravame la patrocinatrice del ricorrente si è semplicemente rimessa al giudizio del TCA circa la correttezza della commisurazione della rendita d'invalidità operata dalla CO 1 nel caso di specie. La rappresentante dell'insorgente non ha contestato né il reddito da invalido né la deduzione sociale operata dall'CO 1.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Riportando questo dato su 41.7 ore , esso ammonta a fr. 5'537.76 mensili oppure a fr. 66'453.12 per l'intero anno (fr. 5'537.76 x 12). Dopo adeguamento all'indice dei salari nominali, l'INSAI ha ottenuto, per il 2017, un reddito annuo di fr. 67'656.27. Considerato che l'assicurato, quale "traslocatore", avrebbe realizzato nel 2017 un reddito annuo di fr. 50'674.- per un'occupazione a tempo pieno che si situava sotto la media dei salari per un'attività equivalente, cioè fr. 71'683.92, l'CO 1 ha ridotto il reddito statistico da invalido (fr. 67'656.27) del 24.31%, percentuale corrispondente al gap salariale (per la parte percentuale che supera il 5%) che è stato pertanto fissato in fr. 46'088.-. Tenuto conto del riserbo di cui deve dare prova il giudice delle assicurazioni sociali nel sostituire il proprio apprezzamento a quello dell’amministrazione (cfr. DTF 137 V 71, 132 V 393 consid. 3.3), il TCA ritiene che, operando pure una decurtazione sociale del 10%, l’CO 1 non abbia abusato del proprio potere di apprezzamento. Mediante la riduzione in questione, l’Istituto assicuratore convenuto ha infatti debitamente tenuto conto degli effetti legati alla menomazione infortunistica. Del resto, va ricordato che la nazionalità italiana e lo statuto di frontaliere dell'assicurato non giustificano un'ulteriore deduzione sociale del reddito da invalido (cfr., a questo proposito, la STF 8C-610/2017 del 3 aprile 2018, consid. 4.4.). Il "reddito da invalido" dell'assicurato per il 2017, considerata una decurtazione del 10%, ammonta quindi a fr. 46'088.-. 2.7.   Il grado di invalidità dell'insorgente - determinato confrontando i fr. 46 '088.00 al reddito che egli avrebbe potuto conseguire senza il danno alla salute, e cioè fr. 50 '674.00 - , risulta essere del 9.05%, arrotondato al 9% secondo la giurisprudenza di cui alla DTF 130 V 121 consid. 3.2. 2.8.   In siffatte circostanze è dunque a giusta ragione che l'CO 1 non ha riconosciuto il diritto ad una rendita non raggiungendo, in ogni caso, il grado di invalidità la soglia del pensionabile del 10%. La decisione dell'CO 1 che nega il diritto ad una rendita d’invalidità va di conseguenza tutelata. 2.9. Diritto a un'indennità per menomazione all’integrità? 2.9.1.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 Commentaire da la loi sur l'assurance-accidents, Losanna 1992, p. 121).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2.9.2.   Nella concreta evenienza, dopo aver sentito il parere del 13 marzo 2017 del dr. med. __________ (redatto, giova qui rilevare, dopo avere visitato personalmente l'assicurato ed averne eseguito l'esame obiettivo), giusta il quale " Secondo la tabella Suva 2.2, una limitazione funzionale causata da un disturbo funzionale dell'articolazione sub-talare ha una valutazione molto variabile tra il 5 e del 30 %. All'esame obiettivo ne noto la minima limitazione funzionale e pertanto una percentuale del 5 % appare decisamente congrua. " (doc. 350), l'CO 1 ha riconosciuto all'assicurato, con la decisione del 24 aprile 2017 (doc. 356) - confermata con la decisione su opposizione del 1° giugno 2017 qui avversata (doc. 369) - un'IMI del 5%. La rappresentante dell'insorgente critica la valutazione dell'IMI del 5% effettuata dal medico di circondario, quando altre menomazioni, quali ad esempio la perdita di un pollice, sono classificate nell'allegato 3 OAINF, a cui l'assicurazione fa riferimento, e danno diritto ad un'IMI del 20%. La CO 1 ha considerato tutte le gravi limitazioni che affliggono l'assicurato come una " minima limitazione funzionale " e non ha ritenuto di raccogliere altre delucidazioni mediche su questo punto. Il medico di circondario, dal canto suo, nonostante avesse visitato una volta sola l'assicurato, si è detto perfettamente a conoscenza del decorso, senza aver bisogno di interpellare al proposito il dr. med. __________, i cui reperti non sono stati ritenuti peraltro atti a mettere in dubbio la sua valutazione. La rappresentante dell'insorgente censura questo modo di procedere, rimettendosi al giudizio del TCA in punto alla definizione dell'IMI, che chiede venga aumentata adeguatamente. Il TCA osserva in ogni caso che non ha motivo di scostarsi da quanto deciso dall'.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questo Tribunale ritiene di poter validamente fondare il proprio giudizio sulla valutazione enunciata dalla dr. med. __________, specialista che vanta un’ampia esperienza in materia di medicina assicurativa e infortunistica. Tanto più che neppure la patrocinatrice dell’assicurato è stata in grado di evidenziare motivi atti ad imporre al TCA di scostarsi dall’apprezzamento espresso dal medico di fiducia dell’assicuratore resistente. D'altra parte l a valutazione dello specialista interpellato dall'CO 1 non è stata smentita da certificati medico-specialistici neppure in sede ricorsuale ed il parere della rappresentante legale dell'assicurato ha il valore di una semplice dichiarazione di parte e non può quindi essere condivisa dal TCA. In conclusione, la decisione su opposizione impugnata merita tutela anche nella misura in cui all’insorgente è stata riconosciuta un'IMI del 5% per il danno permanente all'arto inferiore sinistro. 2.10.   Sulla scorta delle considerazioni che precedono il gravame deve dunque essere respinto e la decisione su opposizione avversata confermata. 2.11. Con l’emanazione del presente giudizio diviene priva di oggetto l’istanza tendente alla concessione dell’effetto sospensivo del ricorso (cfr. doc I, pag. 10; STCA 35.2017.45 del 23 ottobre 2017,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