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35.2017.55 vom 22. August 2017</w:t>
      </w:r>
    </w:p>
    <w:p>
      <w:r>
        <w:t>TI Tribunale d'appello, 2017-08-22, IT</w:t>
      </w:r>
    </w:p>
    <w:p>
      <w:r>
        <w:rPr>
          <w:b/>
        </w:rPr>
        <w:t xml:space="preserve">Quelle: </w:t>
      </w:r>
      <w:r>
        <w:t>https://mcp.opencaselaw.ch/entscheid/ti_gerichte_35.2017.55</w:t>
      </w:r>
    </w:p>
    <w:p>
      <w:r>
        <w:t>FR: TI_GERICHTE 35.2017.55 du 22 août 2017</w:t>
      </w:r>
    </w:p>
    <w:p>
      <w:r>
        <w:t>IT: TI_GERICHTE 35.2017.55 del 22 agosto 2017</w:t>
      </w:r>
    </w:p>
    <w:p>
      <w:pPr>
        <w:pStyle w:val="Heading2"/>
      </w:pPr>
      <w:r>
        <w:t>Regeste</w:t>
      </w:r>
    </w:p>
    <w:p>
      <w:r>
        <w:t>Ammessa riduzione retroattiva del guadagno assicurato e, quindi, dell'importo dell'indennità giornaliera</w:t>
      </w:r>
    </w:p>
    <w:p>
      <w:pPr>
        <w:pStyle w:val="Heading2"/>
      </w:pPr>
      <w:r>
        <w:t>Erwägungen</w:t>
      </w:r>
    </w:p>
    <w:p>
      <w:r>
        <w:rPr>
          <w:b/>
        </w:rPr>
        <w:t>E. 3</w:t>
      </w:r>
    </w:p>
    <w:p>
      <w:r>
        <w:t>OAINF, l’ultimo salario riscosso prima dell’infortunio e considerato come nessuno pretenda che nel caso di specie trovino applicazione l’una o l’altra delle eventualità previste dall’art. 23 OAINF , questa Corte ritiene che la conclusione a cui è pervenuta l’amministrazione nella decisione su opposizione impugnata – indennità giornaliera da calcolare su un salario assicurato di fr. 800/mese - meriti conferma. Dagli atti di causa emergono in effetti elementi tali da rendere inverosimile la circostanza secondo la quale, proprio nel mese in cui accadde l’infortunio (aprile 2012), tra la __________ e RI 1 sarebbe venuto in essere un nuovo contratto di lavoro con una retribuzione mensile lorda di fr. 5'000. In questo ordine di idee, occorre innanzitutto considerare che il datore di lavoro dell’assicurato era sua moglie. Dal registro di commercio risulta infatti che, a decorrere dal mese di marzo 2011, __________ era divenuta socia e gerente della __________. D’altro canto, dalla documentazione agli atti non risulta alcuna prova circa l’effettivo pagamento dei salari (ad esempio, degli estratti conto bancari o postali). Dai conteggi prodotti, in particolare da quello relativo al mese di aprile 2012 di cui al doc. 34, si evince che i salari sarebbero sempre stati ricevuti in contanti dal ricorrente. Di fondamentale importanza è pure il fatto che dal verbale di pignoramento del 18 gennaio 2013 emerge che, in base a quanto dichiarato dalla gerente __________, “… la società non possiede beni pignorabili di alcuna sorta. La società non ha più attività da aprile 2012 .” (allegato al doc. 5 – il corsivo è del redattore). Dal RC si evince inoltre che la società è stata sciolta in seguito a fallimento pronunciato dalla Pretura di __________ il 28 novembre 2012. Ora, appare alquanto improbabile che, in simili condizioni, un datore di lavoro possa permettersi di riconoscere a un proprio dipendente un aumento salariale superiore al 500%, oltretutto per svolgere delle mansioni (controllo del personale, della qualità del lavoro, ecc.) di fatto non esercitabili visto che proprio in quel periodo la società aveva cessato la sua attività. In questo contesto, risultano pretestuose le spiegazioni – prima versione frutto di un errore di contabilità, trasmessa in seguito per una svista (provocata da un problema di presbiopia) all’assicuratore - che l’insorgente ha fornito a proposito dell’annullamento e della sostituzione del conteggio di salario relativo al mese di aprile 2012 (cfr. supra , consid. 2.3.). Perlomeno curiosa appare inoltre la circostanza che, in un primo tempo, il datore di lavoro ha annunciato alla cassa di compensazione una retribuzione di fr. 800 per aprile 2012 (fr. 710 netti, importo che corrisponde a quello figurante sul primo conteggio di salario di aprile 2012) e, solo successivamente, con un ulteriore conteggio, ha dichiarato un salario, sempre riferito al mese di aprile 2012, di fr. 4'990.05 (fr. 4'193.95 netti, importo che del resto non corrisponde nemmeno a quello indicato nel secondo conteggio di salario di aprile 2012) (cfr. allegati al doc. 32). In esito a tutto quanto precede, questo Tribunale ritiene accertato, con il grado della verosimiglianza preponderante, applicato generalmente all’apprezzamento delle prove nel settore della sicurezza sociale (cfr. DTF 129 V 177 consid. 3.1; cfr., pure, Ghélew, Ramelet, Ritter, op. cit., p. 320 e A. Rumo-Jungo, Rechtsprechung des Bundesgerichts zum Sozialversicherungsrecht, Bundesgesetz über die Unfallversicherung, Zurigo 2003, p. 343), che l’ultimo salario riscosso dall’assicurato prima dell’infortunio ai sensi dell’art. 15 cpv. 2 LAINF, ammontava a fr. 800 lordi al mese. È pertanto su questa base che la CO 1 deve calcolare l’indennità giornaliera riconosciuta all’insorgente a far tempo dal 29 aprile 2012. In conclusione, il ricorso di RI 1 non può dunque essere accolto. B b b b b bv . Parimenti, esso giudica inutile procedere all’audizione della ex gerente della ditta __________, __________. 2.5.   Deve ancora essere esaminato se l'assicurato può essere posto al beneficio dell'assistenza giudiziaria e del gratuito patrocinio, come da lui richiesto (cfr. doc. I, p. 4).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Il requisito della probabilità di esito favorevole difetta quando le possibilità di vincere la causa sono così esigue che una persona di condizione agiata, dopo ragionevole riflessione, rinuncerebbe al processo in considerazione delle spese cui si esporrebbe (cfr. STFA U 220/99 del 26 settembre 2000; RAMI 1994 p. 78; DTF 125 II 275 consid. 4b; DTF 119 Ia 251). A tal proposito, si osserva che 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(STFA K 75/05 del 9 agosto 2005; STFA I 173/04 del 10 agosto 2005; STFA I 422/04 del 29 agosto 2005; STFA non pubbl. del 29 giugno 1994 in re A.D.; DTF 125 II 275; DTF 124 I 304 consid. 2c). Inoltre, quando le prospettive di successo e i rischi di perdere il processo si eguagliano o le prime sono soltanto leggermente inferiori rispetto ai secondi, le domande non possono essere considerate senza esito favorevole (cfr. DTF 125 II 275; DTF 124 I 304 consid. 2c; DTF 122 I 267 consid. 2b). Nel caso concreto, tenuto conto degli elementi di valutazione emersi dalla documentazione a disposizione, doveva apparire chiaro che il rischio di perdere il processo era palesemente maggiore rispetto alle prospettive di un successo, ragione per la quale il requisito della probabilità di esito favorevole va giudicato inadempiuto. In queste condizioni, non essendo adempiuto uno dei tre presupposti cumulativi, la domanda di assistenza giudiziaria deve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