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35.2017.46 vom 11. September 2017</w:t>
      </w:r>
    </w:p>
    <w:p>
      <w:r>
        <w:t>TI Tribunale d'appello, 2017-09-11, IT</w:t>
      </w:r>
    </w:p>
    <w:p>
      <w:r>
        <w:rPr>
          <w:b/>
        </w:rPr>
        <w:t xml:space="preserve">Quelle: </w:t>
      </w:r>
      <w:r>
        <w:t>https://mcp.opencaselaw.ch/entscheid/ti_gerichte_35.2017.46</w:t>
      </w:r>
    </w:p>
    <w:p>
      <w:r>
        <w:t>FR: TI_GERICHTE 35.2017.46 du 11 septembre 2017</w:t>
      </w:r>
    </w:p>
    <w:p>
      <w:r>
        <w:t>IT: TI_GERICHTE 35.2017.46 del 11 settembre 2017</w:t>
      </w:r>
    </w:p>
    <w:p>
      <w:pPr>
        <w:pStyle w:val="Heading2"/>
      </w:pPr>
      <w:r>
        <w:t>Regeste</w:t>
      </w:r>
    </w:p>
    <w:p>
      <w:r>
        <w:t>Confermata rendita d'invalidità LAINF del 12%. Contestato redd.da valido. Guadagni supplem. considerati se corrisponodo a redditi e non a rimborso spese e se percepiti regolarm. In casu dallo specchietto riassuntivo dell'assicurat.LAINF risulta che straordinari sono stati aggiunti al salario di base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settembre 2010; RAMI 2000 n. U 400 pag. 381 [U 297/99]; 1989 n. U 69 pag. 176 [U 24/88]; VSI 2002 pag. 159 [I 357/01], consid. 3b). Dagli atti dell’incarto emerge che il 30 agosto 2016 la ditta __________ ha comunicato all’CO 1 che l’assicurato, senza l’infortunio, avrebbe percepito fr. 4'753.76 al mese (cfr. doc. 203). D’altra parte dal “conto salario 2012” e dal “conto salario 2013”  che figurano nell’incarto risulta che nel 2012, l’assicurato ha svolto lavoro straordinario in dicembre (cfr. doc. B) e, nel 2013,  da gennaio a maggio (cfr. doc. 204 pag. 2-3 e doc. V/1). Inoltre e soprattutto dallo specchietto riassuntivo dell’CO 1 risulta chiaramente alla seconda colonna che gli straordinari, per complessivi fr. 1'481.--, sono stati aggiunti al salario base (cfr. doc. 233). In simili condizioni la decisione su opposizione del 21 marzo 2017 deve essere confermata.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