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35.2017.20 vom 28. August 2017</w:t>
      </w:r>
    </w:p>
    <w:p>
      <w:r>
        <w:t>TI Tribunale d'appello, 2017-08-28, IT</w:t>
      </w:r>
    </w:p>
    <w:p>
      <w:r>
        <w:rPr>
          <w:b/>
        </w:rPr>
        <w:t xml:space="preserve">Quelle: </w:t>
      </w:r>
      <w:r>
        <w:t>https://mcp.opencaselaw.ch/entscheid/ti_gerichte_35.2017.20</w:t>
      </w:r>
    </w:p>
    <w:p>
      <w:r>
        <w:t>FR: TI_GERICHTE 35.2017.20 du 28 août 2017</w:t>
      </w:r>
    </w:p>
    <w:p>
      <w:r>
        <w:t>IT: TI_GERICHTE 35.2017.20 del 28 agosto 2017</w:t>
      </w:r>
    </w:p>
    <w:p>
      <w:pPr>
        <w:pStyle w:val="Heading2"/>
      </w:pPr>
      <w:r>
        <w:t>Regeste</w:t>
      </w:r>
    </w:p>
    <w:p>
      <w:r>
        <w:t>Nel 07/2011 assicurata investita con trauma cranico e contusione emisoma sx. Confermata estinzione diritto prest. da 09/2011 poiché disturbi residui - non oggettivabili - non costituiscono conseguenza adeguata del trauma subito</w:t>
      </w:r>
    </w:p>
    <w:p>
      <w:pPr>
        <w:pStyle w:val="Heading2"/>
      </w:pPr>
      <w:r>
        <w:t>Erwägungen</w:t>
      </w:r>
    </w:p>
    <w:p>
      <w:r>
        <w:rPr>
          <w:b/>
        </w:rPr>
        <w:t>E. 2</w:t>
      </w:r>
    </w:p>
    <w:p>
      <w:r>
        <w:t>Cost. (DTF 124 V 94 consid. 4b, 122 V 162 consid. 1d e sentenza ivi citata).</w:t>
      </w:r>
    </w:p>
    <w:p>
      <w:r>
        <w:rPr>
          <w:b/>
        </w:rPr>
        <w:t>E. 2.10</w:t>
      </w:r>
    </w:p>
    <w:p>
      <w:r>
        <w:t>In assenza di un sufficiente sostrato organico oggettivabile, come è il caso nella presente fattispecie (si veda il consid. 2.9.), occorre effettuare un esame specifico dell’adeguatezza. Secondo la giurisprudenza federale, l’esame dell’adeguatezza del legame causale può però avvenire, al più presto, quando l’assicuratore contro gli infortuni, in virtù dell’art. 19 cpv. 1 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Nel caso concreto, non vi sono in discussione provvedimenti integrativi dell’AI, motivo per cui è determinante il momento in cui si è stabilizzato lo stato di salute dell’insorgente. Visto che la ricorrente ha ritrovato una piena capacità lavorativa a far tempo dal 5 settembre 2011 (cfr. doc. 10), occorre concludere che le terapie a cui è stata sottoposta successivamente, non potevano avere lo scopo di migliorare sensibilmente il suo stato di salute infortunistico ai sensi della giurisprudenza succitata. Assodato dunque che all’amministrazione non può essere rimproverato di aver prematuramente chiuso la pratica, si pone la questione di sapere se l’esame dell’adeguatezza debba avvenire in base alla prassi sviluppata nella DTF 117 V 359 ss. relativamente ai traumi cranio-cerebrali e precisata nella DTF 134 V 109, oppure secondo i criteri applicabili in caso di evoluzione psichica abnorme conseguente a infortunio (DTF 115 V 133). Ora, siccome dalla documentazione medica agli atti non risulta che RI 1 abbia riportato una contusio cerebri e, del resto, nemmeno una semplice commotio cerebri (negli atti si fa in effetti riferimento a un trauma cranico lieve [cfr. doc. 5 e allegato al doc. XIV]), non può qui trovare applicazione la giurisprudenza relativa ai traumi cranio-cerebrali (cfr. STF 8C_648/2016 del 19 dicembre 2016 consid. 6.2, 8C_75/2016 del 18 aprile 2016 consid. 4.2 e i riferimenti ivi citati; si veda pure la STF 8C_236/2016 dell’11 agosto 2016 consid. 5). L’adeguatezza va pertanto valutata in base alla cosiddetta “psico-prassi” (DTF 115 V 133). 2.11.   Nel valutare l'adeguatezza del nesso causale, occorre avantutto procedere alla classificazione dell’infortunio occorso alla ricorrente, la cui descrizione si evince dal rapporto di polizia del 9 agosto 2011: " (…)__________, in sella al proprio motoveicolo, circolava su __________ in direzione __________ ad una velocità dichiarata di 30/40 km/h. Giunto al passaggio pedonale presente all’altezza della __________, urtava RI 1 che nelle circostanze da sola e a piedi, stava attraversando il campo stradale da sinistra verso destra rispetto alla direzione di marcia del motociclista. L’urto avveniva tra la parte destra del corpo della donna con la parte anteriore del motoveicolo. A seguito della collisione entrambi i protagonisti cadevano per terra. È in tale momento che il veicolo __________ creava sull’asfalto delle tracce di sfregamento per una lunghezza di 8 metri.” (doc. 42, p. 2) Tenuto conto della sua dinamica oggettiva, il sinistro occorso all’assicurata può essere classificato tra gli eventi di grado medio in senso stretto . Si osserva che la Corte federale, in una sentenza U 228/06 del 4 maggio 2007, ha qualificato come infortunio di grado medio il sinistro occorso a un’assicurata investita da un’autovettura mentre stava attraversando le strisce pedonali. Ella aveva riportato la frattura delle due ossa della gamba sinistra, un trauma cranico con perdita di conoscenza, delle ferite lacero-contuse al cuoio capelluto e al labbro superiore, come pure delle contusioni multiple. In un altro giudizio U 142/03 del 12 gennaio 2004, il TFA ha classificato quale infortunio di grado medio, escludendo che si trattasse di un sinistro al limite della categoria degli eventi gravi, l’evento in cui un assicurato era stato investito da un’autovettura, subendo contusioni alla schiena, ai gomiti ed escoriazioni. La nostra Massima Istanza ha, poi, proceduto a un’identica classificazione in una sentenza U 183/00 del 29 gennaio 2001, in cui un motociclista si era scontrato con un’autovettura proveniente in senso inverso che gli aveva tagliato la strada nello svoltare a sinistra. A seguito della collisione, l’assicurato era scivolato assieme alla propria moto e si era ritrovato immobilizzato sotto una vettura parcheggiata a qualche metro di distanza. Dei terzi erano rapidamente intervenuti per liberarlo e per togliere il contatto alla moto. Trasportato all’ospedale, i sanitari avevano diagnosticato un trauma cervicale, nonché delle contusioni a livello della spalla, del gomito e della caviglia sinistra. Da parte sua, il TCA ha classificato nella categoria degli infortuni di media gravità in senso stretto, l’incidente della circolazione nel quale un’assicurata era stata investita sulle strisce pedonali lamentando una frattura del sacro e ischio-pubica (frattura del Malgaigne), una frattura del corpo vertebrale di L5 a destra, una frattura del processo trasverso del corpo vertebrale di L4, nonché una contusione dell’emitorace sinistro (cfr. STCA 35.2014.9 del 9 ottobre 2014 consid. 2.7., cresciuta incontestata in giudicato; si veda pure la STCA 35.2012.30 del 13 maggio 2013 consid. 2.4.6, anch’essa cresciuta in giudicato). In tale eventualità, il giudice è tenuto a valutare le circostanze connesse con l’infortunio, secondo i criteri elaborati dal Tribunale federale e qui evocati al consid. 2.4..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Sebbene in ogni infortunio di media gravità sia insita una certa spettacolarità, la quale non è tuttavia ancora sufficiente per ritenere adempiuto il criterio (consid. 3.5.1 non pubblicato della DTF 137 V 199), il sinistro qui in discussione, secondo il TCA, non si è svolto secondo circostanze concomitanti particolarmente drammatiche o spettacolari.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Del resto, l'Alta Corte federale è giunta alla medesima conclusione nel caso, citato in precedenza, di un’assicurata investita da un’automobile mentre attraversava le strisce pedonali (cfr. STF U 228/06 del 4 maggio 2007 consid. 3.5). Nell’infortunio del luglio 2011, l’assicurata ha riportato un trauma cranico lieve e delle contusioni interessanti le parti molli dell’emicorpo sinistro (cfr. doc. 5). Nel prosieguo, ella ha essenzialmente lamentato delle cefalee, risultate prive di sostrato organico, e una sintomatologia ansioso-depressiva.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Inoltre, nessun elemento all’inserto permette di ravvisare gli estremi per ammettere la presenza di una cura medica errata e notevolmente aggravante gli esiti dell’infortunio. Ora, considerato che per le problematiche di natura ortopedica l’eziologia traumatica va negata, al più tardi (trattandosi della problematica lombare), a partire dal mese di settembre 2011 e tenuto conto che le turbe psichiche, così come i disturbi privi di sostrato organico oggettivabile ( in casu , le cefalee), non vanno considerati nella valutazione dell’adeguatezza secondo la “psico-prassi” (al riguardo, si vedano i principi giurisprudenziali che sono stati esposti in precedenza a titolo di premessa) , nella concreta evenienza, possono essere a priori ritenuti insoddisfatti i criteri della durata eccezionalmente lunga della cura medica, dei disturbi somatici persistenti, del decorso sfavorevole della cura e delle complicazioni rilevanti intervenute, nonché del grado e la durata dell'incapacità lavorativa. Sulla scorta di quanto precede, si deve concludere che i disturbi denunciati da RI 1 a far tempo dal settembre 2011, non costituiscono una conseguenza adeguata dell’evento traumatico assicurato. Facendo difetto l’adeguatezza, può essere lasciata aperta la questione relativa all’esistenza del nesso di causalità naturale tra l’infortunio e il danno alla salute (cfr., in proposito, SVR 1995 UV 23, p. 67 consid. 3c; STF U 17/07 del 30 ottobre 2007, consid. 3, U 606/06 del 23 ottobre 2007, consid. 4 e U 299/05 del 28 maggio 2007, consid. 5.2) . La decisione su opposizione impugnata, mediante la quale l’istituto assicuratore resistente ha dichiarato estinto a contare dal settembre 2011 il diritto alle prestazioni dipendente dal sinistro dell’8 luglio 2011, merita dunque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