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35.2017.117 vom 14. August 2018</w:t>
      </w:r>
    </w:p>
    <w:p>
      <w:r>
        <w:t>TI Tribunale d'appello, 2018-08-14, IT</w:t>
      </w:r>
    </w:p>
    <w:p>
      <w:r>
        <w:rPr>
          <w:b/>
        </w:rPr>
        <w:t xml:space="preserve">Quelle: </w:t>
      </w:r>
      <w:r>
        <w:t>https://mcp.opencaselaw.ch/entscheid/ti_gerichte_35.2017.117</w:t>
      </w:r>
    </w:p>
    <w:p>
      <w:r>
        <w:t>FR: TI_GERICHTE 35.2017.117 du 14 août 2018</w:t>
      </w:r>
    </w:p>
    <w:p>
      <w:r>
        <w:t>IT: TI_GERICHTE 35.2017.117 del 14 agosto 2018</w:t>
      </w:r>
    </w:p>
    <w:p>
      <w:pPr>
        <w:pStyle w:val="Heading2"/>
      </w:pPr>
      <w:r>
        <w:t>Regeste</w:t>
      </w:r>
    </w:p>
    <w:p>
      <w:r>
        <w:t>Rinvio atti all'amministrazione per complemento istruttorio su entità IMI (sulla questione del prevedibile peggioramento atti medici contraddittori) e per istruire una ricaduta debitamente annunciata dall'assicurata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Con la decisione su opposizione impugnata, la CO 1 ha, da una parte, assegnato ad RI 1 un’IMI del 15% a carico dell’infortunio del 31 agosto 1997 e, dall’altra, non è entrata nel merito della questione riguardante la capacità lavorativa in quanto essa sarebbe già stata giudicata in modo definitivo dal TF con sentenza del 20 dicembre 2010 e, quindi, nemmeno sulla pretesa ricaduta del settembre 2013 (cfr. doc. 14, p. 2). Con la propria impugnativa, l’assicurata contesta entrambi gli aspetti toccati dal suddetto provvedimento (cfr. doc. I). 2.3. Entità della menomazione dell’integrità . 2.3.1.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2.3.2.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da la loi sur l'assurance-accidents, Losanna 1992, p. 121). 2.3.3.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2.3.4.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 ss.). Tuttavia, nella misura in cui esprimono unicamente valori indicativi, miranti a garantire la parità di trattamento di tutti gli assicurati, esse sono compatibili con l'annesso 3 all'OAINF (RAMI 1987 U 21 p. 329; DTF 113 V 219 consid. 2b; DTF 116 V 157 consid. 3a). 2.3.5.   Nella concreta evenienza, dalle tavole processuali si evince che la valutazione della menomazione dell’integrità di cui è portatrice RI 1, è stata eseguita dal dott. __________, spec. FMH in chirurgia ortopedica, a margine della visita fiduciaria del 9 settembre 2014. Questo il tenore dell’apprezzamento contenuto nel suo rapporto del 31 luglio 2014 (recte: 2015): " (…). L’evoluzione radiologica con l’insorgenza intercorrente di una lesione cartilaginea pure in corrispondenza del condilo femorale mediale, lascia presupporre con sufficiente attendibilità l’instaurazione progressiva di un quadro artrosico acquisito in relazione in particolare con l’evento infortunistico del 31.8.1997, con rottura totale del legamento crociato anteriore e parziale del legamento crociato posteriore diagnosticati artroscopicamente e trattati conservativamente con aumento residuale del gioco articolare. Quadro artrosico attualmente (ancora) circoscritto in assenza di reazioni edematose dell’osso sottocondrale in corrispondenza delle lesioni focali cartilaginee. L’effettiva entità “terminale” del quadro artrosico acquisito non risulta essere attualmente ancora ragionevolmente prevedibile con sufficiente attendibilità. In considerazione tuttavia dei chiari segni di progressione delle alterazioni condropatiche acquisite, ritengo giustificato il riconoscimento di un’indennità per menomazione dell’integrità del 15% Con riferimento alla tabella 5 estratto LAINF edizione Suva 2000, in equivalenza a un’artrosi femoro-tibiale di medio-grave entità, rispettivamente a una pan-gonartrosi di media entità. L’eventuale instaurazione di un quadro artrosico acquisito di entità significativamente superiore, per il momento ragionevolmente non valutabile con sufficiente attendibilità, dovrà fare oggetto, se del caso, di una rivalutazione della quantificazione della IMI.” (doc. 2, p. 8 s.) Con certificazione del 23 settembre 2015, il dott. __________, spec. FMH in chirurgia ortopedica, ha formulato le seguenti considerazioni a proposito della valutazione enunciata dal dott. __________: " (…). Lui (il dott. __________, n.d.r.) basa la sua risposta e la valutazione sul fatto che il danno cartilagineo, ben documentato, si estende più rapidamente a causa della lesione del legamento crociato anteriore che la Signora RI 1 si è procurata in un infortunio del 1997. Ritengo che l’argomento principale, ossia l’evento del 29.02.2008, è stato trascurato nella sua relazione e la sua valutazione lo menziona a pagina 7 solo in un paragrafo di 5 righe e lo fa sembrare un incidente banale dove la Signora RI 1, investita, non cade neanche. Il secondo punto concerne il riconoscimento dell’indennità di menomazione. Bisognerebbe far chiarire, sempre in base alle tabelle 5 se nel 15% è inclusa solo l’artrosi o anche l’instabilità articolare, essendo questa un altro foglio delle tabelle della SUVA.” (doc. 4) Il consulente medico della CO 1 si è pronunciato sull’IMI ancora il 22 settembre e il 20 ottobre 2015, prendendo posizione sulle questioni sollevate dal medico curante specialista. Questo in particolare il contenuto del suo primo rapporto: " (…). La risonanza magnetica del ginocchio sinistro, eseguita in data 14.3.2008, non ha messo in evidenza nessuna alterazione strutturale focale acquisita di potenziale origine traumatica chiaramente riconducibile all’evento dl 29.2.2008: da notarsi in particolare l’assenza di edemi ossei, rispettivamente di reazioni ossee sotto-condrali, così come versamenti intrarticolari nell’interpretazione dell’esame, sia da parte della dr.ssa __________ che del dr. __________. L’esistenza di alterazioni degenerative del menisco laterale, così come di un’irregolarità focale dello strato cartilagineo al III intermedio del condilo femorale laterale, era già stata descritta alla risonanza magnetica del ginocchio sinistro del 2.11.2004. Alla risonanza magnetica del ginocchio sinistro del 22.7.2014 le alterazioni cartilaginee al condilo femorale laterale sono risultate essere invariate, con riscontro per contro di un focolaio di ulcera cartilaginea di nuova insorgenza a carico del condilo femorale mediale. L’assenza di lesioni, rispettivamente di reazioni ossee, l’assenza di versamento intrarticolare, l’assenza di progressione dell’alterazione cartilaginea al condilo femorale laterale permettono di escludere l’attribuzione di un ruolo direzionale all’evento infortunistico del 29.2.2008. L’insorgenza di alterazioni degenerative anche al compartimento mediale, può per contro venir ricondotta all’aumentato gioco articolare tuttora riscontrabile in seguito alle lesioni legamentarie riportate il 31.8.1997, trattate conservativamente.” (doc. 5) Questo invece quello del referto del 20 ottobre 2015: " (…) con riferimento ai rapporti del 31.7.2015 e 22.9.2015, dopo aver preso visione della lettera del dr. __________ del 23.9.2015, posso esprimere le seguenti considerazioni: -   Il contenuto del testo di poso più di tre linee del dr. __________, a proposito dell’evento del 29.2.2008, non apporta nuovi elementi di giudizio atti a invalidare il tenore delle considerazioni espresse da parte mia. -   La quantificazione della IMI considerata (15%) risulta essere praticamente equivalente al massimo concesso dalla tabella 6, estratto LAINF edizione Suva 2001, per la più grave delle instabilità di un legamento crociato: ciò che non è per nulla il caso della signora RI 1! La stessa tabella 6 fa esplicitamente riferimento alla non cumulabilità delle indennità per menomazione dell’integrità in caso di una presenza concomitante di instabilità e artrosi.” (doc. 6) In corso di causa, la ricorrente ha prodotto un apprezzamento, datato 11 gennaio 2018, del dott. __________, il cui contenuto è segnatamente il seguente: " (…). Una condropatia di secondo grado ossia lo spessore della cartilagine non oltre il 50% viene diagnosticata già durante l’artroscopia del 04.09.1997. Il Dr. __________ nel suo rapporto operatorio ipotizza che ciò potrebbe essere dovuto dal trauma oppure dal moncone fluttuante del LCA nel comparto laterale. Devo constatare che tutte le risonanze magnetiche eseguite nel frattempo a livello del ginocchio sinistro, ossia sette, solamente in una viene menzionato uno slaminamento del legamento compatibile con lesione non a tutto spessore. L’assenza di edema dell’osso spongioso sottocondrale non permette la conclusione che il trauma è stato minimo oppure addirittura assenze. Una ricerca nella letteratura dimostra che in 200 casi di trauma al ginocchio l’edema sottocondrale era assente in 62 casi ossia nel 31% (1). La lesione della cartilagine venne diagnosticata la prima volta nel 1997 e poi confermata in tutte le indagini radiologiche successive, varia la descrizione del suo diametro e delle sua profondità ma negli anni tendenzialmente aumenta. Non posso condividere l’affermazione del Dr. __________ nel suo rapporto del 11.09.2005 dove afferma che la formazione di cartilagine riparativa faccia rimarginare parzialmente la lesione. Sono noti cinque metodi con i quali la cartilagine può essere riparata ma mai però spontaneamente. Queste cinque tecnologie sono la stimolazione del midollo osseo, riparazione cartilaginea “tissue-based”, ricostruzione condrogenica “cell-based”, riparazione sintetica o farmacologica (2). Concordo che lo stato attuale del ginocchio sinistro della paziente è da ricondurre all’evento del 31.08.1997. C. La situazione clinica è suscettibile di un peggioramento verso un’artrosi post-traumatica del ginocchio sinistro sia sul compartimento mediale come anche su quello laterale. D. Il calcolo dell’IMI si basa sulle tabelle LAINF della SUVA, in questo caso viene utilizzata la tabella 5 per le IMI dopo artrosi e la tabella 6 per le instabilità articolari. In considerazione dei chiari segni di progressione delle alterazioni condrali e della futura progressione ed evoluzione verso una pan gonartrosi tricompartimentale ritengo indicata una IMI del 20%. Una instabilità articolare con uno o due legamenti crociati lesi da al massimo il 15%, non essendo cumulabili le due percentuali vale quella più alta ossia il 20%.” (doc. E 1) 2.3.6.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2.3.7.   Nella concreta evenienza, questa Corte constata che le valutazioni espresse dai dottori __________ e __________, entrambi chirurghi ortopedici e, pertanto, specialisti nella materia che qui interessa, divergono nella misura in cui il primo ha considerato il prevedibile peggioramento delle alterazioni artrosiche a livello del ginocchio sinistro, quantificando finalmente la menomazione dell’integrità in un 20% (cfr. doc. E 1), mentre il secondo non ne ha tenuto conto, in quanto attualmente non “… ancora ragionevolmente prevedibile con sufficiente attendibilità.” (cfr. doc. 2, p. 9). Al riguardo, è utile ricordare che, secondo la giurisprudenza federale, aggravamenti futuri giustificano un aumento della menomazione dell’integrità soltanto se l’intervento di un peggioramento è probabile e l’importanza quantificabile. Per contro, non possono essere presi in considerazione peggioramenti che sono semplicemente possibili (cfr. STF 8C_219/2018 del 5 luglio 2018 consid. 4.3 e riferimenti ivi citati; Th. Frei, Die Integritätsentschädigung nach Art. 24 und 25 des Bundesgesetzes über die Unfallversicherung, Friborgo 1998, p. 50). Chiamato a pronunciarsi su una questione squisitamente medica, il TCA ritiene che il parere del dott. __________ riguardo a un probabile futuro peggioramento del danno artrosico al ginocchio sinistro, sia suscettibile di generare dei dubbi, perlomeno lievi, circa la fondatezza della valutazione del consulente medico dell’istituto assicuratore resistente (cfr. consid. 2.3.6. ). Si giustifica, pertanto, su questo aspetto, l’annullamento della decisione su opposizione impugnata e il rinvio degli atti alla CO 1 affinché ordini un approfondimento peritale esterno (art. 44 LPGA) al fine di determinare l’entità dell’IMI spettante all’assicurata. Non risulta per contro più oggetto di controversia il fatto che la menomazione dell’integrità di cui è portatrice derivi esclusivamente dall’evento traumatico del 1997 (cfr. doc. XIII, p. 9), di modo che determinante ai fini del calcolo della relativa indennità è l’ammontare massimo del guadagno annuo assicurato vigente al giorno dell’infortunio ( in casu , il 31 agosto 1997). 2.4. Diritto alle prestazioni in relazione alla pretesa ricaduta del settembre 2013? 2.4.1.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Secondo la giurisprudenza, si è in presenza di una ricaduta quando un danno alla salute, che si presumeva guarito, si riacutizza, di modo che esso necessita di cura medica e causa incapacità lavorativa. Per contro, si parla di postumi tardivi quando un danno alla salute apparentemente guarito produce, nel corso di un periodo di tempo prolungato, delle modificazioni organiche o psichiche, comportanti sovente uno stato patologico differente (cfr. DTF 118 V 296 consid. 2c e riferimenti, 105 V 35 consid. 1c e riferimenti). 2.4.2.   Giusta l'art. 10 LAINF, l'assicurato ha diritto alla cura appropriata dei postumi d'infortunio, segnatamente alla cura ambulatoriale da parte del medico, del dentista o, previa loro prescrizione, del personale paramedico e del chiropratico, nonché alla cura ambulatoriale in ospedale (lett. a), ai medicamenti e alle analisi ordinati dal medico o dal dentista (lett. b), alla cura, al vitto e alloggio in sala comune ospedaliera (lett. c), alle cure complementari e a quelle balneari prescritte dal medico (lett. d), nonché ai mezzi ed agli apparecchi occorrenti per la sua guarigione (lett. e).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(art. 19 cpv. 1 LAINF; Ghélew, Ramelet, Ritter, Commentaire de la loi sur l’assurance-accidents (LAA), Losanna 1992, p. 41 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2.4.3.   S 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op. cit., p. 91). 2.4.4.   Nel caso di specie, il TCA constata innanzitutto che, in sede di decisione su opposizione impugnata, la CO 1 ha esplicitamente riconosciuto di aver a suo tempo ricevuto lo scritto 5 dicembre 2013, mediante il quale l’assicurata - richiamata una sua precedente comunicazione (del 17 settembre 2013 – cfr. allegato al doc. D 4) rimasta senza riscontro - l’informava di avere nel frattempo (da settembre 2013) accusato un peggioramento dei disturbi al ginocchio sinistro in ragione di un sovraccarico di lavoro (cfr. doc. 14, p. 2 e doc. D 3), come pure il referto 20 dicembre 2013 del medico curante specialista, attestante l’instaurazione di una cura conservativa e un’incapacità al lavoro del 60% dal 5 al 16 settembre 2013, del 30% dal 17 settembre al 17 novembre 2013 e del 20% dal 18 novembre 2013 in poi (cfr. doc. 14, p. 2 e doc. E 3; si veda pure il doc. E 4). Alla luce di quanto precede, risulta incomprensibile l’affermazione, contenuta nella risposta di causa, secondo la quale “ nessuna ricaduta è stata notificata dalla ricorrente e pertanto correttamente la convenuta non ha istruito in tal senso il caso.” (cfr. doc. V, p. 3 – il corsivo è del redattore). D’altro canto, nella decisione su opposizione, l’amministrazione ha sostenuto che la questione della capacità lavorativa dell’insorgente sarebbe stata definitivamente giudicata con la sentenza federale del 20 dicembre 2010, tanto da non poter più entrare nel merito di tale problematica (cfr. doc. 14, p. 2: “Non è oggetto della presente vertenza la capacità lavorativa dell’assicurata, giudicata in modo definitivo dal Tribunale federale con sentenza del 20 dicembre 2010 (capacità lavorativa totale nella professione svolta a partire dal 19 maggio 2009). Non si entrerà dunque nel merito al riguardo.”). In proposito, va rilevato che se è vero che con la sentenza 8C_366/2010 del 20 dicembre 2010 il Tribunale federale ha confermato il giudizio cantonale mediante il quale era stato accertato che RI 1 aveva ritrovato una piena capacità lavorativa nella sua abituale professione di farmacista titolare di una farmacia a far tempo dal 19 maggio 2009 (con la conseguente estinzione del diritto all’indennità giornaliera), è altrettanto vero che ciò non le preclude il diritto di annunciare una ricaduta ex art. 11 OAINF, in caso di peggioramento delle condizioni di salute infortunistiche. La soluzione avrebbe potuto essere diversa qualora, con una decisione cresciuta in giudicato, l’amministrazione avesse dichiarato estinto il nesso di causalità tra il danno alla salute in questione e gli infortuni assicurati. In quel caso, non vi sarebbe infatti più stato spazio per una ricaduta in relazione al medesimo danno alla salute (in questo senso, si veda la STCA 35.2004.105 del 9 maggio 2005 consid. 2.2., cresciuta incontestata in giudicato). Ciò non è tuttavia il caso nella presente fattispecie. Del resto, nel proprio giudizio del 20 dicembre 2010 consid. 8, la Corte federale ha precisato, con riferimento al contenuto della decisione formale del 14 settembre 2009 (in quella sede, l’assicuratore convenuto aveva pure dichiarato estinto a far tempo dal 19 maggio 2009 il nesso di causalità naturale con il sinistro del febbraio 2008), che la CO 1 “… non poteva rendere nel contempo una decisione di accertamento sul tema della causalità (vedi sentenza 2C_803/2008 del 21 luglio 2009). La semplice constatazione dell’avvenuta estinzione del necessario nesso di causalità – anche se facente parte del dispositivo – è solo un elemento di motivazione a sostegno della decisione formatrice, senza portata autonoma (vedi DTF 119 V 11). La questione della causalità potrà di conseguenza essere esaminata liberamente in caso di ricaduta, segnatamente in caso di una nuova incapacità lavorativa o di lite concernente una prestazione diversa da quella ora in discussione.” (il corsivo è del redattore). Sempre in questo contesto, non è corretto sostenere che “… se viene riconosciuta la piena abilità lavorativa significa che i disturbi lamentati sono privi del necessario nesso causale e adeguato.” (doc. V, p. 2). In proposito, è utile segnalare che la mancanza del nesso di causalità tra il danno alla salute e l’evento assicurato comporta l’assenza del diritto alle prestazioni, di qualsiasi genere si tratti. La piena capacità lavorativa determina invece, in regime di prestazioni di corta durata, l’assenza del diritto all’indennità giornaliera (cfr. art. 16 cpv. 1 LAINF), senza alcuna incidenza sulla questione della causalità. L’amministrazione non aveva dunque alcun valido motivo per rifiutarsi di entrare nel merito della ricaduta annunciatale dall’insorgente. In queste condizioni, anche su questo aspetto, gli atti devono dunque essere rinviati all’istituto assicuratore convenuto affinché - dopo aver posto in atto gli accertamenti che ritiene utili per chiarire la questione -, si determini in merito al proprio obbligo a prestazioni in relazione alla ricaduta del settembre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