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35.2017.104 vom 20. August 2018</w:t>
      </w:r>
    </w:p>
    <w:p>
      <w:r>
        <w:t>TI Tribunale d'appello, 2018-08-20, IT</w:t>
      </w:r>
    </w:p>
    <w:p>
      <w:r>
        <w:rPr>
          <w:b/>
        </w:rPr>
        <w:t xml:space="preserve">Quelle: </w:t>
      </w:r>
      <w:r>
        <w:t>https://mcp.opencaselaw.ch/entscheid/ti_gerichte_35.2017.104</w:t>
      </w:r>
    </w:p>
    <w:p>
      <w:r>
        <w:t>FR: TI_GERICHTE 35.2017.104 du 20 août 2018</w:t>
      </w:r>
    </w:p>
    <w:p>
      <w:r>
        <w:t>IT: TI_GERICHTE 35.2017.104 del 20 agosto 2018</w:t>
      </w:r>
    </w:p>
    <w:p>
      <w:pPr>
        <w:pStyle w:val="Heading2"/>
      </w:pPr>
      <w:r>
        <w:t>Regeste</w:t>
      </w:r>
    </w:p>
    <w:p>
      <w:r>
        <w:t>Negato il diritto alla rendita d'invalidità per causalità superante (al momento della nascita del potenziale diritto, la capacità lavorativa dell'assicurato era già compromessa da patologie di natura morbosa)</w:t>
      </w:r>
    </w:p>
    <w:p>
      <w:pPr>
        <w:pStyle w:val="Heading2"/>
      </w:pPr>
      <w:r>
        <w:t>Erwägungen</w:t>
      </w:r>
    </w:p>
    <w:p>
      <w:r>
        <w:rPr>
          <w:b/>
        </w:rPr>
        <w:t>E. 16</w:t>
      </w:r>
    </w:p>
    <w:p>
      <w:r>
        <w:t>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del 20 aprile 2004 nella causa K., I 871/02 elaSTFA del 18 marzo 2002 nella causa M., I 162/01).</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