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35.2016.98 vom 31. Januar 2017</w:t>
      </w:r>
    </w:p>
    <w:p>
      <w:r>
        <w:t>TI Tribunale d'appello, 2017-01-31, IT</w:t>
      </w:r>
    </w:p>
    <w:p>
      <w:r>
        <w:rPr>
          <w:b/>
        </w:rPr>
        <w:t xml:space="preserve">Quelle: </w:t>
      </w:r>
      <w:r>
        <w:t>https://mcp.opencaselaw.ch/entscheid/ti_gerichte_35.2016.98</w:t>
      </w:r>
    </w:p>
    <w:p>
      <w:r>
        <w:t>FR: TI_GERICHTE 35.2016.98 du 31 janvier 2017</w:t>
      </w:r>
    </w:p>
    <w:p>
      <w:r>
        <w:t>IT: TI_GERICHTE 35.2016.98 del 31 gennaio 2017</w:t>
      </w:r>
    </w:p>
    <w:p>
      <w:pPr>
        <w:pStyle w:val="Heading2"/>
      </w:pPr>
      <w:r>
        <w:t>Regeste</w:t>
      </w:r>
    </w:p>
    <w:p>
      <w:r>
        <w:t>Distorsione al ginocchio destro nel 1987 e ricaduta nel 2015. Reddito da valido e da invalido calcolati in base ai dati statistici (TA1 2014). Decurtazione sociale del 15% confermata</w:t>
      </w:r>
    </w:p>
    <w:p>
      <w:pPr>
        <w:pStyle w:val="Heading2"/>
      </w:pPr>
      <w:r>
        <w:t>Erwägungen</w:t>
      </w:r>
    </w:p>
    <w:p>
      <w:r>
        <w:rPr>
          <w:b/>
        </w:rPr>
        <w:t>E. 35</w:t>
      </w:r>
    </w:p>
    <w:p>
      <w:r>
        <w:t>consid. 4b). 2.9.   Nella concreta evenienza, attentamente vagliato l’insieme della documentazione medica agli atti (in particolare, doc. 309, 318, 336 e 375), questo Tribunale ritiene che il parere espresso dalla dr.ssa med. __________, specialista nella materia che qui ci occupa e che vanta un’ampia esperienza in materia di medicina assicurativa e infortunistica, - dettagliato, approfondito e quindi rispecchiante i parametri giurisprudenziali sopra ricordati e, al quale, va dunque attribuita piena forza probante (cfr. consid. 2.8) - possa validamente costituire da base al giudizio che è ora chiamato a rendere, senza che si riveli necessario procedere a degli ulteriori atti istruttori. Del resto, la valutazione della specialista dell'CO 1 non è stata smentita da certificati medico-specialistici neppure in sede ricorsuale. I rapporti del 29 febbraio e del 27 aprile 2016 del dr. med. __________, specialista FMH in reumatologia (doc. 362) e gli apprezzamenti medici del 21 aprile 2016 e del 29 agosto 2016 del dr. med. __________, specialista FMH in chirurgia ortopedica e traumatologia (doc. 361 e 391), non sono atti a sollevare dubbi circa la fedefacenza della valutazione chiara, esauriente con argomentazioni diffuse e motivate, sviluppata il 24 maggio 2016 dalla dr.ssa med. __________, medico __________ e specialista FMH in chirurgia ortopedica e traumatologia dell'apparato locomotore (doc. 377) avvalorata dalle indagini strumentali agli atti (in particolare, doc. 309, 318, 336 e 375). Le considerazioni espresse dagli specialisti ticinesi non appaiono quindi suscettibili di sminuire il valore probatorio attribuito al parere della dr.ssa med. __________. Del resto, la valutazione dell'esigibilità lavorativa espressa dalla specialista dell'CO 1 risulta plausibile anche alla luce dei precedenti giurisprudenziali riportati qui di seguito, riguardanti assicurati che accusavano limitazioni nell'utilizzo degli arti inferiori.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che non implichi (in particolare) la deambulazione su terreno sconnesso o su lunghi tratti e l’utilizzo di scale a pioli. In una sentenza 35.2016.3 del 27 settembre 2016 questo Tribunale ha ritenuto accertato che, nonostante il danno alla salute infortunistico, l'assicurato (di professione manovale,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era in grado di svolgere a tempo pieno e con un rendimento completo, un’attività lavorativa adeguata, ovvero un lavoro in posizione prevalentemente seduta, che non implichi spostamenti frequenti o prolungati, l’utilizzo di scale, né la deambulazione su terreno sconnesso. In una sentenza 35.2016.41 del 14 dicembre 2016 questo Tribunale ha ritenuto accertato che, nonostante il danno alla salute infortunistico, l'assicurato (di professione magazziniere, che, mentre stava percorrendo la strada cantonale alla guida del proprio ciclomotore ad una velocità di 15/30 km/h, è stato investito da una macchina in una rotonda, riportando la frattura intrarticolare metafisaria pluriframmentaria del piatto tibiale sinistro e la frattura peroneale prossimale composta sinistra con conseguente un problema di limitazione funzionale stabile attorno al 90°) era in grado di svolgere, a tempo pieno e con un rendimento completo, un'attività lavorativa compatibile con le limitazioni derivanti dal danno alla salute infortunistico subito al ginocchio sinistro. In una sentenza 35.2016.80 del 18 gennaio 2017 questo Tribunale ha ritenuto accertato che, nonostante il danno alla salute infortunistico, l'assicurata (di professione ausiliaria di cure che è caduta nella vasca da bagno riportando una contusione al ginocchio destro e successivamente è caduta dalle scale di casa a seguito al cedimento del medesimo ginocchio) era in grado di svolgere, a tempo pieno e con un rendimento completo, un'attività lavorativa compatibile con le limitazioni derivanti dal danno alla salute infortunistico subito al ginocchio destro. Del resto, va anche segnalato che, in una recente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carrozziere).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Da ultimo, va osservato che l'assicurato non trae alcun giovamento dell'argomentazione ricorsuale, fondata sul certificato d'infortunio e sull'apprezzamento medico del 29 agosto 2016 del dr. med. __________, da lui consultato privatamente, giusta la quale rimane inabile al lavoro al 50% nella sua professione di carrozziere (doc. 391 e 392), poiché essa è ininfluente ai fini del giudizio alla luce delle considerazioni che precedono. 2.10. Si tratta ora di valutare le conseguenze economiche del danno alla salute infortunistico. 2.11.   Per quanto concerne il reddito da valido, s econdo l’assicuratore infortuni resistente, senza il danno alla salute infortunistico, RI 1 , nel 2015 (data di decorrenza della rendita - chiusura della ricaduta il 03.08.2015: doc. 341) , avrebbe realizzato un guadagno annuo lordo di fr. 69'589.-, calcolato sulla base dei dati statistici risultanti dall'ISS, considerato che non era più attivo professionalmente, conformemente alla giurisprudenza (STF 8C_842/2014 del 4 marzo 2015 consid. 2.4.2 con riferimenti; doc. 385, 388 e 397). Questo importo, desunto dalla tabella TA1 2014, ramo 45-46 " commercio all'ingrosso, commercio e riparazione di autoveicoli ", livello di qualifica 2, uomini, riportato sulle 41.9 ore e aggiornato al 2015 ( doc. 385, 388 e 397 ) e non contestato dal ricorrente, può senz’altro essere fatto proprio da questa Corte (STF 8C_728/2016 del 21 dicembre 2016 consid. 3.1 con riferimenti ). 2.12.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2.13. Dalle tavole processuali risulta che l’amministrazione, " dovendo quantificare il guadagno senza infortunio - peraltro non contestato - sulla base delle statistiche, anche il guadagno post-infortunistico è stato valutato su basi statistiche " (cfr. decisione avversata, p.to 7 a pag. 5). L'CO 1 ha quindi determinato in fr. 71'089.83 il reddito da invalido, applicando la tabella TA1 2014, media totale, livello di qualifica 2, uomini, aggiornato al 2015 nonché riportato sulle 41.7 ore, e operando successivamente una decurtazione 15% a titolo di deduzione sociale, giungendo così all’importo di fr. 60'426.35, arrotondato a fr. 60'426.- (doc. 385, 388 e 397). L’assicurato contesta il dato ritenuto dall’Istituto assicuratore, nella misura in cui quest’ultimo ha fatto capo ai dati salariali statistici anziché a quelli risultanti dalle DPL, puntualizzando che " se l'assicurato è senza attività lavorativa, come nel caso in esame, nulla vieta all'assicuratore infortuni di procedere con una descrizione dei posti di lavoro (DPL) " (cfr. doc. I, p. 5 e 6). Innanzitutto, il TCA osserva che nella STF 8C_842/2014 del 4 marzo 2015, sulla scorta della quale l'CO 1 ha calcolato il reddito " da valido " dell'assicurato sulla base dei dati statistici risultanti dall'ISS, visto che non era più attivo professionalmente, il reddito " da invalido ", confermato dall'Alta Corte, è stato determinato in base al metodo delle DPL. Ferma questa doverosa premessa, questa Corte rileva che, come si vedrà meglio appresso (cfr. consid. 2.16), dal raffronto dei redditi effettuato applicando i dati statistici nazionali contenuti nella Tabella TA1 2014 anziché le DPL risulta un grado di invalidità del 13% . Ora, visto che - nella decisione avversata, l’amministrazione ha confermato la rendita del 20% in vigore, " rinunciando ad esaminare se le condizioni per procedere alla reformatio in pejus dell'impugnata decisione ex ar. 12 cpv. 1 OPGA " fossero o meno " adempiute " e che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 questo TCA ritiene che, in siffatte particolari circostanze, l'operato dell'Istituto assicuratore, nel caso di specie, pur non essendo esente da critiche, possa comunque essere avvallato. Pertanto, utilizzando i dati forniti dalla tabella TA1,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5’660.-. Riportando questo dato su 41.7 ore ( cfr. tabella B 9.2, pubblicata in La Vie économique, 6-2013, p. 90 ) esso ammonta a fr. 5'900.55 mensili oppure a fr. 70'806.60 per l'intero anno (fr. 5'900.55 x 12), ritenuto che la quota di tredicesima è già compresa (STFA U 274/98 del 18 febbraio 1999, consid. 3a). Dopo adeguamento all'indice dei salari nominali (100.4%), si ottiene, per il 2015 un reddito annuo di fr. 71'089.83. Di conseguenza, i l reddito da invalido corrisponde a fr. 71'089.83 dal 1° agosto 2015 (data di decorrenza della rendita - chiusura della ricaduta il 03.08.2015: doc. 341). 2.14.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2.15   Nella concreta evenienza, l’Istituto assicuratore ha operato, in ossequio alla precitata giurisprudenza, una decurtazione del 15% a titolo di riduzione sociale sul reddito statistico da invalido (doc. 397). Dal canto suo il rappresentante del ricorrente pretende che venga applicata al suo assistito una deduzione di almeno il 25%, tenuto conto del quadro clinico, dell'età (24.10.1959) e della formazione del suo assistito (doc I, pag 6.).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Ferma questa premessa, tenuto conto del riserbo di cui deve dare prova il giudice delle assicurazioni sociali nel sostituire il proprio apprezzamento a quello dell’amministrazione (cfr. DTF 137 V 71, 132 V 393 consid. 3.3), questa Corte ritiene che, operando una decurtazione del 15%, l’Istituto assicuratore non abbia abusato del proprio potere di apprezzamento. In particolare il TCA, ritiene che, mediante la riduzione in questione, l'Istituto convenuto abbia tenuto ampiamente conto degli effetti legati alla menomazione infortunistica. Val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Stante quanto precede questo TCA non condivide né le critiche mosse dal rappresentante del ricorrente all'operato dell'Istituto assicuratore per aver operato una riduzione sociale del 15% né la decurtazione di almeno il 25% rivendicata dal patrocinatore dell'insorgente. Il reddito da invalido di fr. 71'089.83 (cfr. consid. 2.13), tenuto conto di una decurtazione sociale del 15%, ammonta dunque a fr. 60'426.47, arrotondato a fr. 60'426.-. 2.16.   Il grado di invalidità del ricorrente - stabilito confrontando i fr. 60'426.- annui al reddito che egli avrebbe potuto conseguire se non fosse intervenuto il danno alla salute infortunistico, e cioè fr. fr. 69'589.- annui (cfr. consid. 2.11.) - è del 13,17% arrotondato al 13% secondo la giurisprudenza di cui alla DTF 130 V 121 consid. 3.2. Sulla scorta delle considerazioni che precedono il gravame deve dunque essere respinto e la decisione su opposizione impugnata, mediante la quale l’amministrazione ha confermato, a decorrere dal 1° agosto 2015, la rendita del 20% in vigore, " rinunciando ad esaminare se le condizioni per procedere alla reformatio in pejus dell'impugnata decisione ex ar. 12 cpv. 1 OPGA " fossero o meno " adempiute ",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