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35.2016.88 vom 13. Juli 2016</w:t>
      </w:r>
    </w:p>
    <w:p>
      <w:r>
        <w:t>TI Tribunale d'appello, 2016-07-13, IT</w:t>
      </w:r>
    </w:p>
    <w:p>
      <w:r>
        <w:rPr>
          <w:b/>
        </w:rPr>
        <w:t xml:space="preserve">Quelle: </w:t>
      </w:r>
      <w:r>
        <w:t>https://mcp.opencaselaw.ch/entscheid/ti_gerichte_35.2016.88</w:t>
      </w:r>
    </w:p>
    <w:p>
      <w:r>
        <w:t>FR: TI_GERICHTE 35.2016.88 du 13 juillet 2016</w:t>
      </w:r>
    </w:p>
    <w:p>
      <w:r>
        <w:t>IT: TI_GERICHTE 35.2016.88 del 13 luglio 2016</w:t>
      </w:r>
    </w:p>
    <w:p>
      <w:pPr>
        <w:pStyle w:val="Heading2"/>
      </w:pPr>
      <w:r>
        <w:t>Erwägungen</w:t>
      </w:r>
    </w:p>
    <w:p>
      <w:r>
        <w:rPr>
          <w:b/>
        </w:rPr>
        <w:t>E. 21</w:t>
      </w:r>
    </w:p>
    <w:p>
      <w:r>
        <w:t>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w:t>
      </w:r>
    </w:p>
    <w:p>
      <w:r>
        <w:t>Il cpv. 2 prevede che le prestazioni pecuniarie dovute ai congiunti o ai superstiti dell'assicurato sono ridotte o rifiutate solo se essi hanno provocato l'evento assicurato intenzionalmente o commettendo intenzionalmente un crimine o un delitto.</w:t>
      </w:r>
    </w:p>
    <w:p>
      <w:r>
        <w:t>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w:t>
      </w:r>
    </w:p>
    <w:p>
      <w:r>
        <w:t>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w:t>
      </w:r>
    </w:p>
    <w:p>
      <w:r>
        <w:t>Il criterio della riduzione per colpa trova la sua giustificazione nel principio della mutualità caratteristico della struttura della legge (Ghélew, Ramelet, Ritter, Commentaire de la loi sur l'assurance-accidents (LAA), Losanna 1992, p. 144 ss.): si vuole con ciò evitare che la maggioranza degli assicurati sia penalizzata dal pagamento di quote elevate destinate a coprire i rischi causati od aggravati dal comportamento colpevole di alcuni assicurati.</w:t>
      </w:r>
    </w:p>
    <w:p>
      <w:r>
        <w:t>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w:t>
      </w:r>
    </w:p>
    <w:p>
      <w:r>
        <w:t>p. 144 s.).</w:t>
      </w:r>
    </w:p>
    <w:p>
      <w:r>
        <w:t>Secondo la giurisprudenza deve esistere un nesso di causalità tra il comportamento gravemente colpevole e l'infortunio (cfr. STF 8C_877/2009 del 28 giugno 2010 a proposito di un assicurato che aveva denominato "negro"  ("Neger" oder "Nigger")  la persona che l'ha successivamente aggredito, ciò che ha provocato la riduzione del 20% delle indennità giornaliere.</w:t>
      </w:r>
    </w:p>
    <w:p>
      <w:r>
        <w:t>2.2.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w:t>
      </w:r>
    </w:p>
    <w:p>
      <w:r>
        <w:t>Nel campo della circolazione stradale, perché vi sia negligenza grave ai sensi dell'art. 37 cpv. 2 LAINF, non è necessario che l'assicurato si sia reso colpevole di una violazione grave delle regole della circolazione stradale (art. 90 cifra 2 LCStr).</w:t>
      </w:r>
    </w:p>
    <w:p>
      <w:r>
        <w:t>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(cfr. Ghélew, Ramelet, Ritter, op. cit., p. 148; Ghélew, Ritter, Resumé et commentaire de jurisprudence cantonale vaudoise,inCGRSS n° 8-1992, p. 76; A. Bühler, Kürzungspraxis des EVG wegen grober Fahrlässigkeit bei Verkehrsunfällen,inSZS 1985, p. 174).</w:t>
      </w:r>
    </w:p>
    <w:p>
      <w:r>
        <w:t>Non sempre è facile, di primo acchito, differenziare la negligenza grave da quella leggera.</w:t>
      </w:r>
    </w:p>
    <w:p>
      <w:r>
        <w:t>Quest'ultima può concretizzarsi in un semplice comportamento inadeguato, in un'imprudenza scusabile o nell'apprezzamento sbagliato di un pericolo.</w:t>
      </w:r>
    </w:p>
    <w:p>
      <w:r>
        <w:t>Tali comportamenti non possono essere penalizzati: l'infortunato,      leggermente colpevole, ha diritto alle prestazioni complete (cfr.                                 Ghélew, Ramelet, Ritter, op. cit., p. 148).</w:t>
      </w:r>
    </w:p>
    <w:p>
      <w:r>
        <w:t>Questi principi sono stati ribaditi dall'Alta Corte in una sentenza U 97/05 del 17 novembre 2006, nella quale ha rilevato:</w:t>
      </w:r>
    </w:p>
    <w:p>
      <w:r>
        <w:t>"Secondo la giurisprudenza, la negligenza grave ai sensi dell'art. 37 cpv. 2 LAINF è, in materia di circolazione stradale, una nozione meno restrittiva (n.d.r. cfr. DTF 118 V 307 "weiter zu fassen")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(DTF 118 V 307consid. 2b e sentenze ivi citate)."</w:t>
      </w:r>
    </w:p>
    <w:p>
      <w:r>
        <w:t>In una sentenza 35.2004.91 del 13 giugno 2005 il TCA ha ammesso la negligenza grave e confermato la riduzione del 20% delle prestazioni in contanti nel caso di un assicurato, titolare di una licenza per allievo conducente di motoveicoli da circa un mese e mezzo, che aveva commesso un eccesso di velocità.</w:t>
      </w:r>
    </w:p>
    <w:p>
      <w:r>
        <w:t>In unaltra sentenza 35.2015.85 del 3 febbraio 2016, nella quale ha confermato la riduzione del 40% delle prestazioni in contanti decisa dallamministrazione, questa Corte ha rilevato:</w:t>
      </w:r>
    </w:p>
    <w:p>
      <w:r>
        <w:t>2.3.La specificità dell'art. 37 cpv. 3 LAINF risiede invece nel fatto che l'infortunio è provocatoin occasionedella commissione di un crimine o di un delitto. È necessario, da un lato, che sia dato il grado di colpevolezza prescritto per l'infrazione, pertanto non necessariamente l'intenzione oppure la negligenza, e, dall'altro, la realizzazione degli elementi costitutivi oggettivi di un'infrazione (cfr. DTF 119 V 241 consid. 3a; A. Rumo-Jungo, op. cit., p. 170).</w:t>
      </w:r>
    </w:p>
    <w:p>
      <w:r>
        <w:t>Se i primi due capoversi dell'art. 37 LAINF regolano la commissione intenzionale, rispettivamente, per negligenza grave di un infortunio, il capoverso 3 concerne invece la perpetrazione colpevole di un crimine o di un delitto. L'infortunio, da parte sua, non deve forzatamente essere stato causato in modo colpevole, è bensì sufficiente che esso risulti dalla commissione di un crimine o di un delitto (cfr. RAMI 2000 U 375, p. 178ss.; RAMI 1996 U 263, p. 281ss.; DTF 120 V 224, consid. 2c).</w:t>
      </w:r>
    </w:p>
    <w:p>
      <w:r>
        <w:t>Se ne deduce che la fattispecie di cui al capoverso 3 costituisce unalex specialis. Quindi, qualora l'infortunio sia stato simultaneamente causato per negligenza grave ed in occasione della commissione di un delitto, trova applicazione soltanto l'art. 37 cpv. 3 LAINF. Per contro, se il comportamento punibile va qualificato come semplice contravvenzione e l'infortunio è contemporaneamente causato per negligenza grave, è applicabile l'art. 37 cpv. 2 LAINF (cfr. A. Rumo-Jungo,Die Leistungskürzung, p. 170).</w:t>
      </w:r>
    </w:p>
    <w:p>
      <w:r>
        <w:t>Sono ritenuti atti delittuosi, quegli atti punibili secondo il diritto penale giusta l'art. 9 cpv. 1 e 2 CP.</w:t>
      </w:r>
    </w:p>
    <w:p>
      <w:r>
        <w:t>Di regola, l'atto delittuoso presuppone quindi che l'autore abbia agito con intenzione o per negligenza (artt. 18, 102, 333 CP). Se, per contro, l'atto illecito è stato commesso in condizioni d'irresponsabilità non è punibile (art. 10 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w:t>
      </w:r>
    </w:p>
    <w:p>
      <w:r>
        <w:t>Il comportamento sanzionato all'art. 263 CP costituisce un delitto, perciò le prestazioni assicurative vanno ridotte o soppresse in applicazione dell'art. 37 cpv. 3 LAINF, malgrado l'irresponsabilità al momento del reato (cfr. DTF 106 V 113 consid. 1).</w:t>
      </w:r>
    </w:p>
    <w:p>
      <w:r>
        <w:t>Una particolare attenzione la merita la fattispecie disciplinata dall'art. 90 cpv.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cpv. 2 LCStr, la quale presuppone che l'autore abbia avuto un comportamento senza scrupoli oppure gravemente contrario alle regole, ossia una colpa qualificata (cfr. RAMI 1996 U 263, p. 281 consid.1a; DTF 119 V 241 consid. 3d; DTF 118 V 305 consid. 2b; A. Rumo-Jungo,Rechtsprechung des Bundesgerichts zum Sozialversicherungsrecht, Bundesgesetz über die Unfallversicherung, Zurigo 2003,ad art. 37 LAINF, p. 200).</w:t>
      </w:r>
    </w:p>
    <w:p>
      <w:r>
        <w:t>D'altro canto, una negligenza grave va di principio ammessa soltanto se vi è stata la trasgressione di una regola elementare oppure una grave violazione di più regole importanti della circolazione stradale (DTF 102 V 25 consid. 1; RAMI 1987 U 20, p. 324).</w:t>
      </w:r>
    </w:p>
    <w:p>
      <w:r>
        <w:t>Pertanto, l'art. 37 cpv. 3 LAINF è applicabile ogni volta che la fattispecie di cui all'art. 90 cpv.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Rumo-Jungo,Die Leistungskürzung, p. 172).</w:t>
      </w:r>
    </w:p>
    <w:p>
      <w:r>
        <w:t>Per un caso d'applicazione dell'art. 37 cpv. 3 LAINF, cfr.la STFA U 97/05 del 17 novembre 2006 a proposito della guida in stato d'ebrietà, ciò che ha comportato una riduzione del 10% delle prestazioni in contanti.</w:t>
      </w:r>
    </w:p>
    <w:p>
      <w:r>
        <w:t>2.4.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(DTF 126 V 360consid. 5b, 125 V 195 consid. 2 e riferimenti; cfr. pureDTF 130 III 324seg. consid. 3.2 e 3.3), atteso che non esiste nel diritto delle assicurazioni sociali il principio secondo il quale l'amministrazione o il giudice devono statuire, nel dubbio, in favore dell'assicurato (DTF 126 V 322consid. 5a).</w:t>
      </w:r>
    </w:p>
    <w:p>
      <w:r>
        <w:t>2.5.   Nella presente fattispecie tra gli atti dellincarto figura il Rapporto del 30 dicembre 2014 degli agenti del Reparto Mobile __________ della Polizia Cantonale relativo allincidente avvenuto martedì 21 ottobre 2014 alle ore 6:50, a __________, allintersezione tra __________ e __________, in un tracciato della strada pianeggiante e in uno stato asciutto, in una zona con velocità massima consentita di 50 Km/h.</w:t>
      </w:r>
    </w:p>
    <w:p>
      <w:r>
        <w:t>Con decreto di accusa DA 628/2015 del 9 febbraio 2015, il Procuratore Pubblico __________ ha ritenuto RI 1 colpevole di</w:t>
      </w:r>
    </w:p>
    <w:p>
      <w:r>
        <w:t>Chiamato ora a pronunciarsi alla luce di quanto appena esposto, il TCA non può che confermare loperato di CO 1, la quale, dopo avere constatato che si è in presenza di un delitto ai sensi dellart. 90 cpv. 2 LCStr, ha ridotto le prestazioni in contanti sulla base dellart. 37 cpv. 3 LAINF.</w:t>
      </w:r>
    </w:p>
    <w:p>
      <w:r>
        <w:t>In occasione dellincidente del 21 ottobre 2014, RI 1 ha infatti effettuato due insensate e sproporzionate accelerazioni tali da fare impennare il veicolo ciò che costituisce una grave violazione delle regole della circolazione stradale (cfr. consid. 2.3.).</w:t>
      </w:r>
    </w:p>
    <w:p>
      <w:r>
        <w:t>Contrariamente allopinione del rappresentante dellassicurato  il quale sostiene che sarebbe stato __________ ad investire RI 1 non avendolo visto mentre effettuava una manovra a sinistra in preselezione (cfr. doc. H e consid. 1.4)  la perizia dellingegner __________ del 21 luglio 2015 (cfr. doc. D) non contiene nessun elemento atto a smentire la ricostruzione dei fatti effettuata dalla Polizia Cantonale e dal Procuratore Pubblico, sulla base delle dichiarazioni dei testi, a proposito della doppia accelerazione con impennata effettuata dal ricorrente (cfr. consid. 1.4.).</w:t>
      </w:r>
    </w:p>
    <w:p>
      <w:r>
        <w:t>Riguardo alla velocità del motoveicolo va anzi sottolineato che, sebbene il limite massimo fosse di 50 km/h, lo stesso assicurato ha dichiarato alla Polizia che probabilmente non circolavo a 50 km/h ma sono convinto che la mia velocità fosse comunque inferiore agli 80 km/h, mentre ling. __________ ha concluso che al momento dellimpatto la motocicletta aveva una velocità di 53-62 km/h, mentre lautomobile procedeva a 17-20 km/h. Tenuto conto delle modalità di percezione della situazione di pericolo, nel caso in esame la velocità accertabile per la motocicletta in fase di avvicinamento è di 56-78 km/h. La tipologia di manovra di svolta operata dal protagonista __________ rientra nei canoni di una manovra mediamente compiuta dagli automobilisti. Va tuttavia osservato che quando lautomobilista ha deciso di dare inizio alla sua manovra di svolta, la motocicletta si trovava a 61-92 metri da lui. (doc. D, pag. 12).</w:t>
      </w:r>
    </w:p>
    <w:p>
      <w:r>
        <w:t>È vero che nella perizia si afferma che la situazione di pericolo  in tale circostanza  va considerata chiaramente riconoscibile; manca tuttavia il tempo materiale al motociclista per mettere in opera la frenata demergenza (doc. D, pag. 10), è però altrettanto vero che il perito non dice nulla sui motivi per i quali lassicurato si è trovato nelle condizioni di non poter effettuare la frenata demergenza.</w:t>
      </w:r>
    </w:p>
    <w:p>
      <w:r>
        <w:t>Infine, ma non da ultimo, va evidenziato che lassicurato, nato nel 1982, ha già subìto in passato due revoche della licenza di circolazione (cfr. consid. 1.8.).</w:t>
      </w:r>
    </w:p>
    <w:p>
      <w:r>
        <w:t>Va ancora aggiunto che il comportamento dellaltra persona coinvolta nellincidente della circolazione, che pure è stata sanzionata con una multa di fr. 300.-- (cfr. consid. 2.4.), non è tale da interrompere il nesso di causalità tra il comportamento del ricorrente e lincidente (cfr. STF 8C_465/2013 del 4 marzo 2014; STCA 35.2015. 85 del 3 febbraio 2016; per un diverso caso, cfr. la STF 8C_737/2009 del 27 agosto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