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35.2016.79 vom 9. Januar 2017</w:t>
      </w:r>
    </w:p>
    <w:p>
      <w:r>
        <w:t>TI Tribunale d'appello, 2017-01-09, IT</w:t>
      </w:r>
    </w:p>
    <w:p>
      <w:r>
        <w:rPr>
          <w:b/>
        </w:rPr>
        <w:t xml:space="preserve">Quelle: </w:t>
      </w:r>
      <w:r>
        <w:t>https://mcp.opencaselaw.ch/entscheid/ti_gerichte_35.2016.79</w:t>
      </w:r>
    </w:p>
    <w:p>
      <w:r>
        <w:t>FR: TI_GERICHTE 35.2016.79 du 9 janvier 2017</w:t>
      </w:r>
    </w:p>
    <w:p>
      <w:r>
        <w:t>IT: TI_GERICHTE 35.2016.79 del 9 gennaio 2017</w:t>
      </w:r>
    </w:p>
    <w:p>
      <w:pPr>
        <w:pStyle w:val="Heading2"/>
      </w:pPr>
      <w:r>
        <w:t>Regeste</w:t>
      </w:r>
    </w:p>
    <w:p>
      <w:r>
        <w:t>Confermata mancata assunzione di una ricaduta, vista l'assenza di una sintomatologia "a ponte"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Nella concreta evenienza, dalla decisione su opposizione impugnata emerge che l’amministrazione ha posto termine alle proprie prestazioni a contare dal 1° gennaio 2016, per il motivo che, al più tardi da quella data, l’assicurata avrebbe ritrovato lo status quo sine a margine dell’evento traumatico del novembre 2015. In effetti, in base all’apprezzamento della dott. __________, spec. FMH in medicina interna, l’evento in questione ha comportato un peggioramento soltanto passeggero del preesistente stato (morboso) del ginocchio sinistro con lo status quo sine raggiunto appunto il 31 dicembre 2015 (doc. 7: “il 21.11.15 l’assicurata ha subito un trauma contusivo del ginocchio, che non ha provocato danni strutturali, come risulta dall’esame RM del 17.05.16, che ha evidenziato un quadro degenerativo avanzato, senza lesioni da riferire al trauma. Il quadro clinico attuale a carico del ginocchio sx è l’evoluzione naturale di quanto già era stato riscontrato nel 2009 e non è stato influenzato dall’evento infortunistico del 21.11.15. (…). Per le conseguenze dell’infortunio del 21.11.15, lo status quo sine è stato raggiunto al 31.12.15.”). Va constatato che la tesi del consulente medico dell’amministrazione, secondo cui l’evento del 21 novembre 2015 non ha causato alcuna lesione strutturale, ma soltanto slatentizzato il preesistente stato morboso (degenerativo) del ginocchio sinistro, non risulta contraddetta da alcuna certificazione specialistica, di modo che questa Corte non ha valide ragioni per discostarsene. Del resto, va attribuita una particolare importanza al fatto che, nel 2009 , RI 1 era già stata in cura presso il chirurgo ortopedico dott. __________ in ragione dell’esistenza di un’artrosi femoro-rotulea a sinistra progrediente (cfr. doc. 5; dal referto afferente alla RMN del 17 maggio 2016 emerge inoltre che, nell’ aprile 2008 , era stata eseguita un’artro-RMN del ginocchio sinistro, ciò che dimostra che la ricorrente soffriva di significativi disturbi a quel livello ben prima del 2009 ). Secondo il parere dello specialista interpellato dall’assicuratore, l’assicurata ha raggiunto lo status quo sine a far tempo dal 1° gennaio 2016 (ciò che equivale a sostenere che la sintomatologia che ha reso necessarie nuove cure mediche a contare dal mese di maggio 2016, non è imputabile al trauma subito il 21 novembre 2015). In proposito, il TCA rileva che l’evento in questione è stato annunciato quale infortunio bagatella . Esso ha reso necessaria solo una visita di controllo presso il dott. __________ (il 23 novembre 2015 – cfr. doc. 13) e non ha comportato alcuna inabilità lavorativa. Dalle carte processuali si evince che, nel frattempo (e sino a inizio maggio 2016), il ginocchio sinistro non è stato oggetto di particolari trattamenti (in particolare, si veda la certificazione 11 maggio 2016 del dott. __________ – doc. 5: “Trattamento iniziale dal medico di famiglia, Dr. __________. Miglioramento fino a 10 giorni fa dove il ginocchio ha ripreso una dimensione fortissima con gonfiore.” – il corsivo è del redattore), né ha causato incapacità lavorativa (in base al certificato 17 maggio 2016 del dott. __________, il lavoro è stato interrotto soltanto dal 2 maggio 2016 – cfr. doc. 3). Non trova quindi conferma negli atti quanto sostenuto dalla ricorrente, ossia che i problemi al ginocchio non sarebbero “… migliorati ma peggiorati fino al completo blocco dell’articolazione che mi ha costretto, mio malgrado, a dover tornare a farmi visitare per vedere cosa fare.” (doc. 13) e che ella sarebbe stata in grado di continuare a lavorare soltanto grazie a una riduzione molto importante del pensum (doc. I, p. 2). Del resto, non può neppure essere ignorato che i disturbi insorti nel maggio 2016 sono stati annunciati all’amministrazione quale ricaduta ex art. 11 OAINF (cfr. doc. 2).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STFA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Nel caso di specie, per i motivi che sono stati diffusamente esposti in precedenza, non può essere ammesso che vi sia stata una chiara sintomatologia a ponte ai sensi della giurisprudenza appena citata. Alla ricorrente va inoltre ricordato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In esito a tutto quanto precede, il TCA non ritiene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i disturbi al ginocchio sinistro annunciati nel maggio 2016 costituiscano una conseguenza naturale dell’infortunio del 21 novembre 2015, di modo che l’assicuratore resistente era legittimato a negare le relative sue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