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35.2016.75 vom 15. Dezember 2016</w:t>
      </w:r>
    </w:p>
    <w:p>
      <w:r>
        <w:t>TI Tribunale d'appello, 2016-12-15, IT</w:t>
      </w:r>
    </w:p>
    <w:p>
      <w:r>
        <w:rPr>
          <w:b/>
        </w:rPr>
        <w:t xml:space="preserve">Quelle: </w:t>
      </w:r>
      <w:r>
        <w:t>https://mcp.opencaselaw.ch/entscheid/ti_gerichte_35.2016.75</w:t>
      </w:r>
    </w:p>
    <w:p>
      <w:r>
        <w:t>FR: TI_GERICHTE 35.2016.75 du 15 décembre 2016</w:t>
      </w:r>
    </w:p>
    <w:p>
      <w:r>
        <w:t>IT: TI_GERICHTE 35.2016.75 del 15 dicembre 2016</w:t>
      </w:r>
    </w:p>
    <w:p>
      <w:pPr>
        <w:pStyle w:val="Heading2"/>
      </w:pPr>
      <w:r>
        <w:t>Regeste</w:t>
      </w:r>
    </w:p>
    <w:p>
      <w:r>
        <w:t>Rinvio all'amministrazione per appurare tramite perizia la capacità lavorativa dell'assicurato, tenuto conto dei disturbi a schiena e spalla dx. (disturbi al ginocchio dx non a carico dell'assicuratore)</w:t>
      </w:r>
    </w:p>
    <w:p>
      <w:pPr>
        <w:pStyle w:val="Heading2"/>
      </w:pPr>
      <w:r>
        <w:t>Erwägungen</w:t>
      </w:r>
    </w:p>
    <w:p>
      <w:r>
        <w:rPr>
          <w:b/>
        </w:rPr>
        <w:t>E. 9</w:t>
      </w:r>
    </w:p>
    <w:p>
      <w:r>
        <w:t>cpv. 2 lett. c OAINF), ciò non basta per ammettere l’obbligo a prestazioni della CO 1. In effetti, sarebbe ancora necessario che all’origine del danno alla salute vi fosse stato un evento assimilabile ad infortunio. Ora, il TCA ritiene che il semplice fatto di girarsi, quindi di ruotare il corpo, mentre si sta salendo una scala, non costituisce un fattore lesivo esterno ai sensi della giurisprudenza citata al considerando 2.2.4. (in questo senso, cfr. la STF 8C_22/2010 del 28 settembre 2010, riguardante un’assicurata che aveva lamentato una lesione meniscale al ginocchio destro dopo essersi girata allo scopo di riempire una brocca d’acqua in cucina e la STCA 35.2006.71 del 15 gennaio 2007 consid. 2.10, cresciuta incontestata in giudicato, concernente un falegname che, trasportando un armadio a muro unitamente a un collega, in un tratto ad angolo retto della scala, nel momento di caricare verso l’esterno la gamba destra, aveva avvertito il ginocchio cedere con una fitta di dolore; si veda pure la STCA 35.2015.121 del 16 agosto 2016 consid. 2.2.5., cresciuta in giudicato). È vero che, in una sentenza U 5/02 del 21 ottobre 2002, il TFA (dal 1° gennaio 2007: TF) ha ammesso l’intervento di un fattore esterno, nel caso di un’assicurata che, mentre stava cucinando, si era voltata bruscamente per prendere qualcosa dal frigorifero e aveva così riportato una lacerazione del menisco. È però altrettanto vero che, successivamente, l’Alta Corte ha precisato che, sebbene si fosse trattato di un gesto ordinario della vita, in quella fattispecie era intervenuto un elemento esterno sotto forma di “bruschezza” (“ Brüskheit ”), che aveva finalmente comportato l’incontrollabilità del gesto (cfr. STF 8C_705/2012 del 17 gennaio 2013 consid. 3.3). Ora, nel caso sub judice , dalla descrizione dell’accaduto non risulta che nel movimento di rotazione del corpo, sarebbe intervenuto un elemento esterno, così come definito dalla giurisprudenza federale appena evocata. Si è trattato in effetti di un movimento sprovvisto di ogni intensità (assenza di gesto brusco, forzato o violento). Per quanto concerne il riferito movimento di “rotazione innaturale” del ginocchio - diversamente dal caso di cui alla succitata STFA U 5/02, in cui la torsione del ginocchio era parte del gesto stesso (il voltarsi bruscamente) – nella presente fattispecie la torsione del ginocchio appare piuttosto come la conseguenza di un gesto insignificante (il girarsi) e, come tale, non giustifica il riconoscimento di un particolare potenziale di pericolo accresciuto. Per quanto riguarda il danno al ginocchio destro, un obbligo a prestazioni non può dunque essere imposto all’assicuratore LAINF resistente, nemmeno a titolo di lesione parificata ai postumi d’infortunio. Pertanto, qui di seguito, dovrà essere esaminato se l’istituto convenuto era legittimato a dichiarare il ricorrente abile al lavoro in misura del 50% trascorsa una settimana dopo il sinistro e in misura completa dal 2 aprile 2016, e ciò a dipendenza dei soli disturbi alla schiena e alla spalla destra . Al riguardo, il TCA prende atto del fatto che, secondo la CO 1, trattandosi della seconda fase del sinistro (perdita dell’equilibrio, caduta e urto a terra di schiena e spalla destra), “… il concetto d’infortunio secondo l’art. 4 LPGA risulta soddisfatto, …” (doc. 12, p. 2). 2.3. Capacità lavorativa del 50% dal 25 marzo 2016 e del 100% dal 2 aprile 2016? 2.3.1. Secondo l'art.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L’entità dell’incapacità lavorativa (e, quindi, il diritto all’indennità giornaliera ex art. 16 LAINF) deve essere valutata considerando le mansioni che l’assicurato è concretamente chiamato a compiere nell’esercizio della sua abituale professione.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è da ricercare in un'affezione patologica (DTF 101 V 145 consid. 2b; 111 V 239 consid. 1b e 2a; RAMI 1986 p. 56; 1987 p. 105 consid. 2; 1987 p. 393 consid. 2b; 1989 p. 106 consid. 1d; Ghélew, Ramelet, Ritter, Commentaire de la loi sur l'assurance-accidents (LAA), Losanna 1992, p. 91). 2.3.2.   Dalle carte processuali risulta che la decisione dell’amministrazione di dichiarare il ricorrente abile al lavoro in misura del 50% dal 25 marzo 2016 e in misura completa dal 2 aprile 2016, è fondata sul parere espresso dal proprio consulente medico (cfr. doc. 12, p. 2: “In base alla valutazione del nostro medico consulente, …”). In effetti, fondandosi sulla sola documentazione a sua disposizione, con nota datata 18 maggio 2016, il dott. __________, spec. FMH in medicina interna, dopo aver diagnosticato una contusione della spalla e della schiena senza danni strutturali di natura traumatica agli esami radiologici, ha indicato le seguenti percentuali d’incapacità lavorativa: “1 settimana al 100% e una settimana al 50%” (cfr. doc. 10). Da parte sua, il medico curante, dott. __________, spec. FMH in chirurgia, ha invece certificato un’inabilità lavorativa del 100% sino al 15 maggio 2016 e del 50% sino al 12 giugno 2016 (cfr. doc. 11). Con rapporto del 13 maggio 2016, egli ha attestato la persistenza di “… forti dolori alla colonna cervicale e dorso-lombare con irradiazione agli arti inferiori e dolori al ginocchio destro.” (doc. 9). 2.3.3.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alcun dubbio,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 35 consid. 4b). 2.3.4.   Chiamata ora a pronunciarsi, tutto ben considerato, questa Corte ritiene che la laconica nota del dott. __________, elaborata in base a una scarna documentazione, non consenta di concludere con la necessaria tranquillità che, tenuto conto delle sequele infortunistiche interessanti la spalla destra e la schiena, RI 1 abbia effettivamente ritrovato una piena capacità lavorativa nei tempi e nei modi indicati dal fiduciario. L’assicuratore LAINF convenuto ha pertanto omesso di accertare in modo appropriato fatti giuridicamente rilevanti, violando in tal modo il disposto di cui all’art. 43 cpv. 1 LPGA. 2.3.5.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é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solo fatto che essa ha fondato la decisione impugnata esclusivamente sul parere del proprio consulente medico (per un caso analogo, si veda la STF 8C_757/2014 del 16 gennaio 2015 consid. 3.2). S i giustifica dunque l’annullamento della decisione su opposizione impugnata nella misura in cui, a dipendenza dei postumi infortunistici interessanti la schiena e la spalla destra, il ricorrente è stato dichiarato abile al lavoro in misura del 50% dal 25 marzo 2016 e in misura completa dal 2 aprile 2016, e il rinvio degli atti all’istituto assicuratore convenuto affinché disponga un approfondimento peritale volto a determinare il grado di capacità lavorativa dell’assicurato a far tempo dal 25 marzo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