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35.2016.74 vom 5. Oktober 2016</w:t>
      </w:r>
    </w:p>
    <w:p>
      <w:r>
        <w:t>TI Tribunale d'appello, 2016-10-05, IT</w:t>
      </w:r>
    </w:p>
    <w:p>
      <w:r>
        <w:rPr>
          <w:b/>
        </w:rPr>
        <w:t xml:space="preserve">Quelle: </w:t>
      </w:r>
      <w:r>
        <w:t>https://mcp.opencaselaw.ch/entscheid/ti_gerichte_35.2016.74</w:t>
      </w:r>
    </w:p>
    <w:p>
      <w:r>
        <w:t>FR: TI_GERICHTE 35.2016.74 du 5 octobre 2016</w:t>
      </w:r>
    </w:p>
    <w:p>
      <w:r>
        <w:t>IT: TI_GERICHTE 35.2016.74 del 5 ottobre 2016</w:t>
      </w:r>
    </w:p>
    <w:p>
      <w:pPr>
        <w:pStyle w:val="Heading2"/>
      </w:pPr>
      <w:r>
        <w:t>Erwägungen</w:t>
      </w:r>
    </w:p>
    <w:p>
      <w:r>
        <w:rPr>
          <w:b/>
        </w:rPr>
        <w:t>E. 15</w:t>
      </w:r>
    </w:p>
    <w:p>
      <w:r>
        <w:t>p. 49 consid. 3b; RCC 1991 p. 332 consid. 3b; STF 8C_709/2008 del 3 aprile 2009 consid. 2.3.). In una sentenza 8C_971/2008 del 23 marzo 2009, l’Alta Corte ha ribadito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(il corsivo è della redattrice) Alla luce di quanto precede, occorre concludere che, dal punto di vista medico, l’assicurato è inabile al 40% nella sua professione di tuttofare, comprendente lavori per la sicurezza; per la logistica, pulizia e controllo merci e, in misura molto minore, per organizzazione eventi e concerti (cfr. doc. 83 pag. 6). Nondimeno, sul mercato generale del lavoro esistono delle attività leggere, compatibili con le limitazioni derivanti dal danno alla salute infortunistico alla mano destra, che egli sarebbe in grado di svolgere all’85%.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2.6. Si tratta quindi di valutare le conseguenze economiche del danno alla salute infortunistico. 2.7. Per quanto concerne il reddito da valido , secondo l’assicuratore LAINF, l'insorgente avrebbe guadagnato nel 2012 (su questo aspetto, si veda la DTF 128 V 174) - qualora non fosse rimasto vittima dell’infortunio assicurato - un importo annuo lordo di fr. 80'600 (cfr. doc. 138). Il TCA non ha motivo per distanziarsi dall’importo citato, che, del resto, non è stato contestato dall’assicurato. Adeguando tale importo al 2015 (+0.7%, +0.8% e +0.4%, cfr. la relativa tabella pubblicata sul sito web dell’Ufficio federale di statistica), si ottiene un reddito da valido di fr. 82'140.75.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2.8.1.   Dalla decisione del 2 novembre 2015 risulta che l’amministrazione ha quantificato il reddito da invalido dell’interessato facendo capo ai dati de ll’edizione 2012 della Tabella TA1, aggiornati al 2015, poi ridotti del 15% per tenere conto dell’esigibilità medicalmente stabilita dal dr. __________ (cfr. doc. 138). Il TCA condivide il calcolo operato dall’assicuratore LAINF. Infatti, utilizzando i dati forniti dalla tabella TA1 2012 elaborata dall'Ufficio federale di statistica, il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a questo proposito, si veda la STF 8C_480/2010 del 10 marzo 2012 consid. 3.1.1), esso ammonta a fr. 5'431.42 mensili oppure a fr. 65'177.04 per l'intero anno (fr. 5'431.42 x 12). Dopo adeguamento all'indice dei salari nominali da quantificare in +0.7% per il 2013, +0.8% per il 2014 e +0.4% per il 2015 (cfr. la relativa tabella pubblicata sul sito web dell’UFS), si ottiene, per il 2015, un reddito annuo di fr. 66'423. Considerata un'esigibilità dell’85%, i l reddito da invalido corrisponde a fr. 56'459.60. 2.8.2.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2.8.3.   L’assicuratore LAINF non ha attribuito all’assicurato alcuna riduzione percentuale (cfr. doc. 138). La patrocinatrice del ricorrente ha contestato tale modo di procedere, rimproverando all’amministrazione di non avere tenuto conto del fatto che l’assicurato, nonostante risieda in Ticino dal 2001, non parla né comprende la lingua italiana. E questo ancora oggi, malgrado il riconoscimento da parte dell’Ufficio AI, quale provvedimento di intervento tempestivo, di un corso individuale di italiano di 16 lezioni. La rappresentante dell’assicurato ha spiegato che a partire dal 2008 l’interessato ha sempre lavorato in qualità di tuttofare presso il bar di __________ gestito da suo cugino e dove tutti i dipendenti sono __________, ciò che ha, di fatto, reso superfluo per l’assicurato imparare la lingua italiana. Secondo la patrocinatrice del ricorrente, posto che le conoscenze linguistiche sono fondamentali nello svolgimento di un’attività lucrativa, le carenze linguistiche dell’assicurato gli impediscono di fatto di poter mettere a frutto la sua capacità lavorativa residua, circostanza che avrebbe dovuto essere opportunamente presa in considerazione da parte dell’amministrazione, stabilendo una riduzione sociale del 10% (cfr. doc. I). In sede di risposta di causa, l’assicuratore infortuni ha respinto le critiche ricorsuali e confermato la correttezza del proprio agire, sottolineando che le attività semplici e ripetitive di cui alla tabella TA1 delle RSS prese in considerazione per stabilire il reddito da invalido comprendono “lavori in cui non si richiedono né qualifiche particolari, né conoscenze linguistiche di un certo tipo”. Inoltre, l’assicuratore LAINF ha aggiunto che essendo l’interessato una persona ancora giovane e che vive in Ticino ormai da un lunghissimo tempo (dal 2001), “abbia comunque imparato un minimo di italiano per svolgere dei lavori semplici” (cfr. doc. III). Il TCA che, di massima, non può senza motivi pertinenti sostituire il proprio apprezzamento a quello dell’amministrazione (cfr. DTF 137 V 71, consid. 5.2) non ha motivo di scostarsi da tale valutazione dell’amministrazione. Va, infatti, rilevato che la giurisprudenza federale ha già, più volte, avuto modo di ricordare che per lo svolgimento delle attività semplici e ripetitive di cui al livello 4 delle RSS nelle versioni fino al 2010 (equivalenti al livello 1 delle RSS 2012) eventuali lacune scolastiche o linguistiche non giustificano una riduzione del reddito da invalido (cfr., tra le tante, STF 8C_594/2011 del</w:t>
      </w:r>
    </w:p>
    <w:p>
      <w:r>
        <w:rPr>
          <w:b/>
        </w:rPr>
        <w:t>E. 20</w:t>
      </w:r>
    </w:p>
    <w:p>
      <w:r>
        <w:t>ottobre 2011, consid. 58C_17/2011 del 21 aprile 2011, consid. 6.2.) Il Tribunale federale, in due sentenze commentate in SZS/RSAS 2016 pag.174 -177, ha poi ribadito la propria giurisprudenza anche con riferimento ad attività semplici e ripetitive individuate tramite il metodo delle DPL, confermando l’affidabilità dei posti di lavoro e dei salari determinati utilizzando questo metodo anche in caso di assicurati con un basso livello di formazione (STF 8C_215/2015 del 17 novembre 2015) e limitate competenze linguistiche (STF 8C_430/2014 del 21 dicembre 2015), mettendo in evidenza come nell’individuazione delle DPL cui fare riferimento nei singoli casi l’amministrazione abbia la possibilità di limitare i criteri di scelta in modo tale da selezionare solo le attività che richiedono la conclusione della scuola dell’obbligo. Infine, sull’esistenza di sufficienti posti di lavoro semplici e ripetitivi di cui alle RSS, necessitanti di bassi requisiti intellettuali e che possono essere eseguiti anche con una sola mano, cfr. STF  8C_350/2013 del 5 luglio 2013. 2.9.   In concreto, raffrontando, nel 2015, il reddito da valido di fr. 82'140.75 con quello da invalido di fr. 56’459.60, si ottiene un grado di invalidità del 31,26% arrotondato al 31% secondo la giurisprudenza di cui alla DTF 130 V 121 consid. 3.2. (= SVR 2004 UV Nr. 11 p. 41). Questo Tribunale rileva che l’assicuratore LAINF è giunto al medesimo risultato, ossia un grado di invalidità del 31.26%, ma lo ha poi arrotondato al 32%. Tale modo di procedere non appare tuttavia corretto (cfr. DTF 130 V 121 consid. 3.2.). Il TCA potrebbe quindi, in linea di principio, riformare la decisione impugnata a detrimento del ricorrente, dopo avergli dato la possibilità di prendere posizione in merito e averlo reso attento sulla possibilità di ritirare il ricorso (cfr. art. 20 cpv. 2 Lptca). Questa Corte, tuttavia, rinuncia a effettuare una reformatio in pejus , vista l’esigua differenza (1%) e considerato che si tratta unicamente di una facoltà (cfr. STFA U 192/02 del 23 giugno 2003; STFA U 334/02 del 22 aprile 2003; STFA C 119/02 del 2 giugno 2003; STFA H 313/01 del 17 giugno 2003; DTF 119 V 249). Nella misura in cui l'assicuratore resistente ha riconosciuto all'assicurato una rendita di invalidità del 32% , il ricorso da lui interposto va respinto. 2.10.   Deve, infine, essere verificato se il ricorrente può essere posto al beneficio dell’assistenza giudiziaria con il gratuito patrocinio dell’avv. RA 1 (cfr. doc. I, pag. 9 s.).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alla patrocinatrice di RI 1 doveva apparire evidente che il rischio di perdere il processo era palesemente maggiore rispetto alle prospettive di un successo, ragione per la quale il requisito della probabilità di esito favorevole va giudicato inadempiuto (cfr. sentenza 35.2015.44 del 24 febbraio 2016, consid. 2.9). Dal profilo economico, infatti, alla luce della giurisprudenza federale in materia, l’invocata riduzione percentuale del 10% del reddito da invalido esclusivamente per ragioni linguistiche non era palesemente condivisibile (cfr. consid. 2.8.3).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