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35.2016.49 vom 20. Oktober 2016</w:t>
      </w:r>
    </w:p>
    <w:p>
      <w:r>
        <w:t>TI Tribunale d'appello, 2016-10-20, IT</w:t>
      </w:r>
    </w:p>
    <w:p>
      <w:r>
        <w:rPr>
          <w:b/>
        </w:rPr>
        <w:t xml:space="preserve">Quelle: </w:t>
      </w:r>
      <w:r>
        <w:t>https://mcp.opencaselaw.ch/entscheid/ti_gerichte_35.2016.49</w:t>
      </w:r>
    </w:p>
    <w:p>
      <w:r>
        <w:t>FR: TI_GERICHTE 35.2016.49 du 20 octobre 2016</w:t>
      </w:r>
    </w:p>
    <w:p>
      <w:r>
        <w:t>IT: TI_GERICHTE 35.2016.49 del 20 ottobre 2016</w:t>
      </w:r>
    </w:p>
    <w:p>
      <w:pPr>
        <w:pStyle w:val="Heading2"/>
      </w:pPr>
      <w:r>
        <w:t>Regeste</w:t>
      </w:r>
    </w:p>
    <w:p>
      <w:r>
        <w:t>Determinazione del diritto all'IMI, trattandosi di assicurato con danno alla spalla (rottura cuffia rotatoria). Rinvio atti per approfondimento peritale</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2.5.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2.6.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2.7.Nel caso di specie, lassicuratore LAINF resistente, tenuto conto del parere dei suoi medici fiduciari, ha negato allassicurato il diritto a unIMI.</w:t>
      </w:r>
    </w:p>
    <w:p>
      <w:r>
        <w:t>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l’CO 1 era legittimato a negare il diritto l’IMI, oppure no. 2.3.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l’assicuratore LAINF resistente, tenuto conto del parere dei suoi medici fiduciari, ha negato all’assicurato il diritto a un’IMI. In effetti, in occasione della visita di controllo del 28 settembre 2015, il dott. __________, spec. FMH in chirurgia ortopedica e traumatologia, dopo aver refertato, a livello della spalla sinistra, in particolare un’abduzione/adduzione di 130-0-30° e un’elevazione/retroversione di 140-0-30°, ha dichiarato che l’assicurato non aveva diritto a un’IMI (cfr. doc. 136). Alla medesima conclusione è pervenuto anche il dott. __________, spec. FMH in chirurgia, a margine della visita medica di chiusura del 21 dicembre 2015. Misurata un’abduzione/adduzione di 130-0-30° e un’elevazione/retroversione di 135-0-30-25°, il medico di circondario appena citato ha sostenuto che “la limitazione funzionale attuale non dà diritto ad una menomazione dell’integrità.” (doc. 165). Invitato dall’amministrazione a precisare il proprio apprezzamento, il dott. __________ ha affermato che “nella visita __________ del 21.12.2015 all’esame obbiettivo veniva riscontrata un’articolarità in elevazione di 135°. Inoltre l’assicurato stava svolgendo fisioterapia il che implica generalmente un ulteriore progressivo miglioramento durante il corso della fisioterapia. La tabella Suva 1.2 stabilisce che viene pagata un’IMI se l’articolarità non supera i 30° oltre l’orizzontale (90°). Pertanto al momento della visita l’articolarità non poteva essere considerata meritevole di risarcimento, in quanto avrebbe dovuto arrivare a circa 120°. (…).” (doc. 208). Unitamente alla propria impugnativa, il ricorrente ha prodotto un parere medico-legale allestito dal dott. __________, spec. in ortopedia e traumatologia a __________, il 10 giugno 2016. Il sanitario consultato dall’assicurato ha riscontrato una “spalla sinistra mobile ma dolente durante i movimenti di elevazione anteriore a 90°, abduzione a 70°, rotazione interna 10°.”. Egli ha riferito che, soggettivamente, RI 1 lamenta “… dolorabilità a livello del cinto scapolo omerale sinistra, della spalla sinistra, difficoltà nel mantenere l’arto superiore sinistro elevato, il tutto accentuato dai mutamenti metereologici, (…). Durante il compimento dei normali gesti della vita quotidiana e lavorativa, il paziente riferisce facile stancabilità a carico dell’arto superiore sinistro, difficoltà nel mantenere oggetti pesanti nella mano sinistra, impedimento al sollevare pesi anche di pochi kilogrammi.”. A suo avviso, l’assicurato avrebbe quindi diritto a un’IMI del 12% “…, con pari percentuale per la specifica lavorativa di muratore professionista (per impossibilità da parte del periziando, di portare pesi e nel mantenere l’arto superiore sinistro elevato).” (doc. G).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2.9.   Chiamato a pronunciarsi nella concreta evenienza, questa Corte ritiene di non poter fondare il proprio giudizio sul parere espresso dai medici fiduciari dell’CO 1, secondo i quali l’insorgente non sarebbe portatore di una menomazione importante e durevole all’integrità fisica, fondante il diritto a un’indennità. In base alle misurazioni eseguite dai dottori __________ e __________ (l’ultima volta in occasione della visita di chiusura del dicembre 2015), il ricorrente presenta un’elevazione del braccio sinistro di 140° (135° secondo il dott. __________) e un’abduzione di 130° (cfr. doc. 136 e doc. 165). Al riguardo, va rilevato che il medico curante specialista, dott. __________, spec. FMH in chirurgia ortopedica e traumatologia, a margine del consulto del 30 giugno 2015, aveva refertato un’elevazione attiva dell’arto superiore sinistro di 140° e un’abduzione attiva limitata a 80° (cfr. doc. 117). Dal parere medico-legale del dott. __________ si evince semplicemente che l’assicurato avverte dolore alla spalla sinistra a 90° di elevazione e a 70° di abduzione (cfr. doc. G, p. 3). Ora, questo Tribunale osserva che, in una sentenza 35.2000.60 del 17 settembre 2001 consid. 2.4.5. – fondandosi sul parere dell’allora medico __________ dell’CO 1 – era stata riconosciuta un’IMI del 10% a un assicurato la cui spalla destra era limitata in elevazione a 170° e in abduzione a 160° e che, inoltre, presentava una diminuzione della forza. In un’altra fattispecie, oggetto della sentenza 35.2008.23 dell’8 settembre 2008 consid. 2.6.6., riguardante un assicurato la cui funzione della spalla sinistra, in flessione e in abduzione, era di 155, rispettivamente di 140°, il medico fiduciario dell’assicuratore in questione aveva valutato la menomazione all’integrità sempre in un 10%. Visto quanto precede, anche allo scopo di garantire l'uguaglianza di trattamento fra gli assicurati, il TCA ritiene di non poter senz’altro confermare il rifiuto di riconoscere all’assicurato un’IMI per il danno infortunistico alla spalla sinistra.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per il fatto che essa ha fondato la decisione impugnata esclusivamente sul parere dei propri medici __________ (in questo senso, si veda pure la STF 8C_757/2014 del 16 gennaio 2015 consid. 3.2). P er le ragioni già esposte al considerando 2.9. , si giustifica pertanto l’annullamento della decisione su opposizione del 17 maggio 2016 e il rinvio degli atti all’assicuratore resistente affinché disponga un approfondimento peritale, volto a valutare l’entità della menomazione legata al danno infortunistico alla spalla sinistra (per un caso analogo, in cui il TCA ha pure disposto il rinvio degli atti all’amministrazione, si veda la STCA 35.2015.64 del 5 febbraio 2016 consid. 2.5.5.). A prescindere da quanto precede, con riferimento a quanto è stato sostenuto in sede di ricorso, il TCA segnala che la determinazione dell’IMI dipende esclusivamente da fattori medici oggettivi validi per tutti gli assicurati. Tale prestazione non è legata all’incapacità di guadagno che essa è o meno suscettibile di causare (cfr. DTF 113 V 218 consid. 4a). D’altro canto, i dolori denunciati dall’insorgente ai movimenti del braccio sinistro non giustificano, di per sé, il riconoscimento di un’indennità, siccome sono intrinsecamente legati alla diminuzione della mobilità provocata dalla natura stessa della menomazione (in questo senso, cfr. la STF 8C_472/2007 del 9 giugno 2008 consid. 4; si veda pure la STCA 35.2014.114 del 21 maggio 2015 consid. 2.9., confermata con la STF 8C_433/2015 dell’8 ottobre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