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35.2016.31 vom 17. August 2016</w:t>
      </w:r>
    </w:p>
    <w:p>
      <w:r>
        <w:t>TI Tribunale d'appello, 2016-08-17, IT</w:t>
      </w:r>
    </w:p>
    <w:p>
      <w:r>
        <w:rPr>
          <w:b/>
        </w:rPr>
        <w:t xml:space="preserve">Quelle: </w:t>
      </w:r>
      <w:r>
        <w:t>https://mcp.opencaselaw.ch/entscheid/ti_gerichte_35.2016.31</w:t>
      </w:r>
    </w:p>
    <w:p>
      <w:r>
        <w:t>FR: TI_GERICHTE 35.2016.31 du 17 août 2016</w:t>
      </w:r>
    </w:p>
    <w:p>
      <w:r>
        <w:t>IT: TI_GERICHTE 35.2016.31 del 17 agosto 2016</w:t>
      </w:r>
    </w:p>
    <w:p>
      <w:pPr>
        <w:pStyle w:val="Heading2"/>
      </w:pPr>
      <w:r>
        <w:t>Erwägungen</w:t>
      </w:r>
    </w:p>
    <w:p>
      <w:r>
        <w:rPr>
          <w:b/>
        </w:rPr>
        <w:t>E. 5</w:t>
      </w:r>
    </w:p>
    <w:p>
      <w:r>
        <w:t>novembre 2015 ha rilevato quanto segue:</w:t>
      </w:r>
    </w:p>
    <w:p>
      <w:r>
        <w:t>La medesima specialista ha puntualizzato il 15 dicembre 2015 che:"() Der Fall ist stabil, die Zumutbarkeitsbeurteilung ist nach wie vor gültig, Lebenslängliche Kontrollen sin von der Versicherung aber weiter zu übernehmen ()"(doc. 86).</w:t>
      </w:r>
    </w:p>
    <w:p>
      <w:r>
        <w:t>2.7.   Nella concreta evenienza, attentamente vagliato linsieme della documentazione medica agli atti, questo Tribunale ritiene che il parere espresso dalla dr.ssa __________- conforme allesperienza medica (cfr. consid.2.4.) oltre che dettagliato, approfondito e quindi rispecchiante i parametri giurisprudenziali sopra ricordati e, al quale, va dunque attribuita piena forza probante (cfr. consid. 2.6) - possa validamente costituire da base al giudizio che è ora chiamato a rendere, senza che si riveli necessario procedere a degli ulteriori atti istruttori (in particolare, alla richiesta perizia giudiziaria - cfr. doc. IX).Del resto, la valutazione della specialista dell'CO 1 non è stata smentita da certificati medico-specialistici neppure in sede ricorsuale. In effetti, a prescindere dal fatto che il rapporto del 18 giugno 2016 - relativo alla valutazione oculistica effettuata il 12 e 17 maggio 2016 - non è stato sottoscritto dal dr. med. __________ (oculista FMH attivo presso il Centro oculistico __________), va comunque osservato che tale specialista, dopo aver rilevato che"l'occhio destro è da considerare legalmente cieco", ed aver puntualizzato che "come autista di veicoli pesanti, il paziente rimane 100% inabile al lavoro, permanente", ha comunque ritenuto che "una riabilitazione del paziente nel lavoro, è possibile solo tramite un passaggio ad un'altra professione"(doc. S - il corsivo è della redattrice). Non si è per contro espresso in merito all'assuefazione visiva di monocolo e relativo adattamento.Ora, a prescindere dal fatto che laffermazione del ricorrente secondo cui non ci si può abituare al mancato coordinamento dell'acuità dei due occhi ovvero ad una percezione distorta e sfuocata del mondo esterno e degli stimoli ecc., non trova quindi fondamento in alcun rapporto medico specialistico e ha pertanto il valore di una semplice dichiarazione di parte, il TCA rileva che la fattispecie è stata valutata in modo esaustivo dalloftalmologa di fiducia dellCO 1, la quale - preso atto del fatto che, secondo la dr.ssa med. __________ nel proprio rapporto del 16 giugno 2015, l'assicurato"() Pur avendo una buona acutezza visiva e un buon campo visivo in OS ritengo che non riesca ad utilizzarlo al meglio e che effettivamente OD lo confonda e lo condiziona nello svolgimento delle azioni quotidiane ()"(doc. 74) - ha ribadito il 15 dicembre 2015 (doc. 86) l'esigibilità già espressa il 3 settembre 2014 (doc. 57), riconoscendo un discapito di rendimento (limitato nel tempo a 1-2 anni) del 10-20% per tenere conto del necessario adattamento alla situazione monoculare.In siffatte circostanze le contestazioni mosse dall'insorgente nel gravame all'operato dell'Istituto assicuratore per aver applicato la giurisprudenza di cui alla STF 8C_626/2012 del 7 novembre 2012 ai consid. 2 e 3, non possono essere condivise dal TCA.</w:t>
      </w:r>
    </w:p>
    <w:p>
      <w:r>
        <w:t>Questo dato, desunto dalle indicazioni fornite direttamente dal datore di lavoro (cfr. doc. 92) e non contestato dal ricorrente, può senzaltro essere fatto proprio da questa Corte.</w:t>
      </w:r>
    </w:p>
    <w:p>
      <w:r>
        <w:t>2.8.2.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riferimento.Questa giurisprudenza è stata confermata anche recentemente dal TF, segnatamente in DTF 139 V 592 e nella sentenza 8C_898/2015 del 13 giugno 2016 al consid. 3.3.</w:t>
      </w:r>
    </w:p>
    <w:p>
      <w:r>
        <w:t>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w:t>
      </w:r>
    </w:p>
    <w:p>
      <w:r>
        <w:t>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professionali.Questa giurisprudenza è stata confermata anche recentemente dal TF, segnatamente in DTF 141 V 1 consid. 5.</w:t>
      </w:r>
    </w:p>
    <w:p>
      <w:r>
        <w:t>2.8.4   Dalle tavole processuali risulta che lamministrazione ha quantificato in fr. 66'821.64 il reddito da invalido, applicando la tabella TA1 2012, media totale, livello di qualifica 1, uomini, aggiornato al 2016 nonché riportato sulle 41.7 ore, e operando successivamente una decurtazione del 0.45% per ilgapsalariale, del 15% per la riduzione di rendimento (per assuefazione) e del 10% a titolo di deduzione sociale, giungendo così allimporto di fr. 50'889.00 (doc. 96).</w:t>
      </w:r>
    </w:p>
    <w:p>
      <w:r>
        <w:t>Conformemente alla giurisprudenza federale di cui si è detto al precedente considerando, per la determinazione del reddito ipotetico da invalido tornano applicabili i dati statistici nazionali contenuti nella Tabella TA1.Utilizzando i dati forniti da questa tabella, lassicurato,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w:t>
      </w:r>
    </w:p>
    <w:p>
      <w:r>
        <w:t>Riportando questo dato su 41.7 ore (cfr. tabella B 9.2,pubblicatainLa Vie économique, 6-2013, p. 90) esso ammonta a fr. 5'431.42 mensili oppure a fr. 65'177.10 per l'intero anno (fr. 5'431.42 x 12),), ritenuto che la quota di tredicesima è già compresa (STFA U 274/98 del 18 febbraio 1999, consid. 3a).</w:t>
      </w:r>
    </w:p>
    <w:p>
      <w:r>
        <w:t>Dopo adeguamento all'indice dei salari nominali (+0,70% per il 2013, + 0,8% per il 2014, + 0,5% per il 2015 e +0,5%, ultima stima trimestrale a disposizione per il 2016), si ottiene, per il 2016 un reddito annuo di fr. 66'821.64.</w:t>
      </w:r>
    </w:p>
    <w:p>
      <w:r>
        <w:t>Lassicurato, quale "autista tiratubi", avrebbe realizzatonel 2016 unreddito annuo di fr. 66'963.- per unoccupazione a tempo pieno. Tale reddito si situasottola media dei salari per un'attività equivalente (cioè fr. 70'828.36; cfr. Tabella TA1 2012, ramo economico 49-52 "trasporti e magazzinaggio", livello di qualifica 1, uomini: fr. 5'513.-: 40 ore x 42.4 ore/settimana = fr. 5'843.78 x 12 mesi = fr. 70'125.36 e aggiornato al 2016).</w:t>
      </w:r>
    </w:p>
    <w:p>
      <w:r>
        <w:t>2.8.5.Secondo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w:t>
      </w:r>
    </w:p>
    <w:p>
      <w:r>
        <w:t>Nella concreta evenienza, lIstituto assicuratore ha operato, in ossequio alla precitata giurisprudenza, una decurtazione del 10% a titolo di riduzione sociale sul reddito statistico da invalido (doc. 96). Il ricorrente non ha contestato questa riduzione.</w:t>
      </w:r>
    </w:p>
    <w:p>
      <w:r>
        <w:t>Tenuto conto del riserbo di cui deve dare prova il giudice delle assicurazioni sociali nel sostituire il proprio apprezzamento a quello dellamministrazione (cfr. DTF 137 V 71, 132 V 393 consid. 3.3), questo Tribunale ritiene che, operando una decurtazione del 10%, lIstituto assicuratore non abbia abusato del proprio potere di apprezzamento.Il reddito da invalido di fr. 56'542.81 per i primi 18 mesi rispettivamente di66'520.95successivamente a tale periodo, tenuto conto di una decurtazione del 10%, ammontano dunque a fr. 50'889.00 rispettivamente afr. 59'869.00.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