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35.2016.21 vom 20. Juni 2016</w:t>
      </w:r>
    </w:p>
    <w:p>
      <w:r>
        <w:t>TI Tribunale d'appello, 2016-06-20, IT</w:t>
      </w:r>
    </w:p>
    <w:p>
      <w:r>
        <w:rPr>
          <w:b/>
        </w:rPr>
        <w:t xml:space="preserve">Quelle: </w:t>
      </w:r>
      <w:r>
        <w:t>https://mcp.opencaselaw.ch/entscheid/ti_gerichte_35.2016.21</w:t>
      </w:r>
    </w:p>
    <w:p>
      <w:r>
        <w:t>FR: TI_GERICHTE 35.2016.21 du 20 juin 2016</w:t>
      </w:r>
    </w:p>
    <w:p>
      <w:r>
        <w:t>IT: TI_GERICHTE 35.2016.21 del 20 giugno 2016</w:t>
      </w:r>
    </w:p>
    <w:p>
      <w:pPr>
        <w:pStyle w:val="Heading2"/>
      </w:pPr>
      <w:r>
        <w:t>Regeste</w:t>
      </w:r>
    </w:p>
    <w:p>
      <w:r>
        <w:t>Assicurato, residente in Italia, lavora in CH quale direttore di una ditta di taxi. Quale sistema nazionale di sicurezza sociale è applicabile in casu? Rinvio atti per complemento istruttorio (questione di sapere se ass. svolge parte sostanziale dell'attività salariata nello Stato di residenza)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giugno 2009, concernente un’assicurata affetta da ernia lombare ). Sulla scorta di tutto quanto precede, qualora dovesse concludere all’applicabilità del sistema di sicurezza sociale svizzero, CO 1 dovrebbe quindi disporre un approfondimento peritale volto ad accertare l’eziologia dei disturbi lombari posteriormente al 31 gennaio 2015.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