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35.2016.12 vom 11. Juli 2016</w:t>
      </w:r>
    </w:p>
    <w:p>
      <w:r>
        <w:t>TI Tribunale d'appello, 2016-07-11, IT</w:t>
      </w:r>
    </w:p>
    <w:p>
      <w:r>
        <w:rPr>
          <w:b/>
        </w:rPr>
        <w:t xml:space="preserve">Quelle: </w:t>
      </w:r>
      <w:r>
        <w:t>https://mcp.opencaselaw.ch/entscheid/ti_gerichte_35.2016.12</w:t>
      </w:r>
    </w:p>
    <w:p>
      <w:r>
        <w:t>FR: TI_GERICHTE 35.2016.12 du 11 juillet 2016</w:t>
      </w:r>
    </w:p>
    <w:p>
      <w:r>
        <w:t>IT: TI_GERICHTE 35.2016.12 del 11 luglio 2016</w:t>
      </w:r>
    </w:p>
    <w:p>
      <w:pPr>
        <w:pStyle w:val="Heading2"/>
      </w:pPr>
      <w:r>
        <w:t>Regeste</w:t>
      </w:r>
    </w:p>
    <w:p>
      <w:r>
        <w:t>Assicuratore LAINF avrebbe dovuto in prima battuta verificare se disturbi fatti valere a titolo di ricaduta e attestati dai curanti fossero o meno oggettivabili e solo una volta esclusa tale eventualità passare all'esame dell'adeguatezza.Istruttoria incompleta, atti rinviati per nuovi accertamenti</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In presenza di un infortunio del tipo “colpo di frusta” alla colonna cervicale, di un trauma equivalente oppure di un trauma cranio-cerebrale, senza prova di deficit funzionale organico, i criteri della causalità adeguata devono essere esaminati senza differenziare le componenti psichiche da quelle somatiche, e ciò contrariamente a quanto avviene trattandosi di disturbi psichici insorti a seguito di un infortunio, per i quali vanno considerati unicamente gli aspetti organici (cfr. DTF 127 V 102 consid. 5b/bb p. 103 e SVR 2007 UV 8 p. 27, consid. 2ss.). 2.7.   Nella DTF 134 V 109,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Nonostante ciò che precede, la giurisprudenza citata al considerando 2.5.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 2.8.   La più recente giurisprudenza federale applica la prassi relativa all’evoluzione psichica abnorme conseguente a infortunio ai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nè neurologicamente nè mediante esami strumentali per immagini. 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2.9.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Ricadute e conseguenze tardive configurano dei casi particolari di revisione (cfr. DTF 127 V 456 consid. 4b pag. 457; 118 V 293 consid. 2d pag. 297; SVR 2003 UV no. 14 pag. 43 [sentenza del Tribunale federale delle assicurazioni U 86/02 del 20 marzo 2003] consid. 4.3).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(cfr. STF 8C_603/2009 del 1° febbraio 2010 consid. 4.2.; STF U 34/07 del 4 marzo 2008 consid. 4.3.; RAMI 2003 no. U 487 pag. 341 consid. 2; cfr. pure la sentenza del Tribunale federale delle assicurazioni U 98/05 del 19 luglio 2005, consid. 2.2). 2.10.   Nel caso di specie, nel mese di marzo 2015 l’assicurata ha annunciato all’amministrazione una ricaduta, trasmettendo, a comprova di quanto addotto, dei referti medici del dr. __________ (cfr. doc.</w:t>
      </w:r>
    </w:p>
    <w:p>
      <w:r>
        <w:rPr>
          <w:b/>
        </w:rPr>
        <w:t>E. 7</w:t>
      </w:r>
    </w:p>
    <w:p>
      <w:r>
        <w:t>e doc. 10). In particolare, con succinto referto del 23 aprile 2015, il dr. __________ ha attestato l’esistenza di una “ricaduta di infortunio”, ponendo le cervicalgie e le lombalgie dell’interessata in relazione con il “pregresso evento traumatico del 15 novembre 2013” (cfr. doc. 10). L’assicurata ha, poi, trasmesso all’assicuratore LAINF anche un altro referto, datato 24 luglio 2015, con il quale la dr.ssa __________, medico chirurgo specialista in fisiatria, dopo avere riassunto gli esiti del trauma subito dall’interessata in data 15 novembre 2013, ha indicato che “attualmente visto la persistenza dei disturbi post-trauma con visite periodiche mensili MMG per terapia farmacologica (fans + miorilassanti), viene a visita specialistica fisiatrica per valutazione ed eventuale terapia riabilitativa”, aggiungendo che “all’esame obiettivo rachide in toto rigido ipomobile con marcata contrattura muscolare ed ipostenia arti superiori, ROT ndp, limitazione articolare ai massimi gradi articolari nei vari distretti. Utile Rx rachide cervicale e lombare” (doc. 14). L’assicuratore LAINF ha ritenuto che, sulla base di questi elementi prodotti dall’assicurata e, in particolare, non essendo in possesso di un “rapporto medico dettagliato” - che il dr. __________ non avrebbe voluto compilare, come comunicato alla CO 1 dall’assicurata stessa (cfr. doc. 11) - non fosse possibile “verificare l’esistenza di un eventuale nesso di causalità naturale tra l’apparente “ricaduta” e l’evento del 15 novembre 2013” (cfr. doc. 12; doc. 16 e doc. A). Di parere opposto il patrocinatore della ricorrente, a mente del quale l’istruttoria compiuta dall’amministrazione è stata “del tutto incompleta, già solo per il fatto che la parte avversa non ha proceduto ad effettuare una valutazione biomeccanica onde valutare il delta-v, valutazione che era stata chiesta e che in ogni caso si chiede nuovamente”, oltre che per la mancanza di un’analisi dell’esistenza o meno di un nesso di causalità naturale. Secondo il legale dell’interessata, il fatto che il curante dell’interessata non abbia provveduto a compilare il questionario medico richiesto dall’assicuratore LAINF non esimeva quest’ultimo dal dovere di ordinare una perizia (cfr. doc. I). Chiamato a pronunciarsi, questo Tribunale condivide le critiche sollevate dal patrocinatore della ricorrente. Alla luce del fatto che l’annuncio di ricaduta presentato dall’assicurata è stato corredato dalla presentazione di documentazione medica a comprova, seppure in maniera sommaria, di quanto fatto valere, il TCA considera che l’assicuratore CO 1 non potesse, come invece ha fatto, limitarsi a concludere di non essere in grado, in assenza di un rapporto medico dettagliato, di verificare l’esistenza o meno di un nesso di causalità naturale tra i disturbi annunciati a titolo di ricaduta e l’evento del 15 novembre 2013, per poi aggiungere che, a prescindere da ciò, fosse comunque da negare, in ogni caso, l’adeguatezza del nesso causale. Questo Tribunale ritiene, al contrario, che spettasse proprio all’assicuratore infortuni convenuto, nel rispetto dell’art. 43 cpv. 1 LPGA – a norma del quale l'assicuratore esamina le domande, intraprende d'ufficio i necessari accertamenti e raccoglie le informazioni di cui ha bisogno – mettere in atto gli approfondimenti medici necessari al fine di verificare se i disturbi fatti valere da RI 1 e attestati dai medici da ella consultati (consistenti, in particolare, come indicato dalla dr.ssa __________, in “algie diffuse al rachide, vertigini, capogiri, brachialgia bilaterale persistente, acufeni saltuari”, cfr. doc. 14) fossero o meno oggettivabili e, solo una volta esclusa tale eventualità, passare, se del caso, all’esame dell’adeguatezza. In ossequio al proprio obbligo di accertamento, l’assicuratore LAINF avrebbe, infatti, dovuto effettuare, in prima battuta, gli approfondimenti medici più opportuni, ordinando degli esami clinici specialistici, in particolare di natura neurologica vista l’origine dei disturbi dell’assicurata, così come pure delle mirate e approfondite investigazioni diagnostiche radiologiche e neuro-radiologiche. In tale contesto va, infatti,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Non avendolo fatto, il TCA non può che considerare l’istruttoria compiuta dall’assicuratore LAINF incompleta. Per tali ragioni, la decisione su opposizione impugnata deve essere annullata e gli atti rinviati all’amministrazione, affinché realizzi gli accertamenti medico-specialistici necessari al fine di appurare se, nel caso di specie, i disturbi fatti valere dall’interessata a titolo di ricaduta correlino con delle affezioni oggettivabili oppure no. Solo una volta effettuati questi imprescindibili accertamenti medico-specialistici sia clinici che diagnostici e unicamente nel caso in cui, dagli stessi, non dovesse emergere l’esistenza di affezioni oggettivabili, l’amministrazione potrà, previa verifica dell’avvenuta stabilizzazione dello stato di salute – circostanza, quest’ultima, parimenti contestata dall’avv. RA 1 e che, quindi, dovrà pure essere oggetto di approfondimenti (cfr. doc. I) - decidere di eventualmente procedere ad un esame specifico dell’adeguatezza del nesso causale, lasciando momentaneamente in sospeso, ai sensi della giurisprudenza federale, la questione della causalità naturale.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