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35.2016.109 vom 22. Mai 2017</w:t>
      </w:r>
    </w:p>
    <w:p>
      <w:r>
        <w:t>TI Tribunale d'appello, 2017-05-22, IT</w:t>
      </w:r>
    </w:p>
    <w:p>
      <w:r>
        <w:rPr>
          <w:b/>
        </w:rPr>
        <w:t xml:space="preserve">Quelle: </w:t>
      </w:r>
      <w:r>
        <w:t>https://mcp.opencaselaw.ch/entscheid/ti_gerichte_35.2016.109</w:t>
      </w:r>
    </w:p>
    <w:p>
      <w:r>
        <w:t>FR: TI_GERICHTE 35.2016.109 du 22 mai 2017</w:t>
      </w:r>
    </w:p>
    <w:p>
      <w:r>
        <w:t>IT: TI_GERICHTE 35.2016.109 del 22 maggio 2017</w:t>
      </w:r>
    </w:p>
    <w:p>
      <w:pPr>
        <w:pStyle w:val="Heading2"/>
      </w:pPr>
      <w:r>
        <w:t>Erwägungen</w:t>
      </w:r>
    </w:p>
    <w:p>
      <w:r>
        <w:rPr>
          <w:b/>
        </w:rPr>
        <w:t>E. 20</w:t>
      </w:r>
    </w:p>
    <w:p>
      <w:r>
        <w:t>settembre 2004). Nella presente fattispecie, dalla documentazione prodotta con l’impugnativa risulta che il ricorrente è divorziato con una figlia ventenne che svolge attualmente l’apprendistato d’impiegata di commercio. Le sue sole entrate consistono nella rendita d’invalidità corrispostagli dall’CO 1 (fr. 1'663.55/mese). La rendita dell’AI è invece stata soppressa a far tempo dal mese di febbraio 2017 (cfr. decisione del 14 dicembre 2016, prodotta sub doc. V 1). Sul fronte delle uscite, la Tabella per il calcolo del minimo di esistenza agli effetti del diritto esecutivo, emanata dalla Camera di esecuzione e fallimento del Tribunale d’appello (CEF), quale Autorità di vigilanza cantonale, prevede la somma di fr. 1’200 quale importo base mensile per la persona che vive sola. Tale importo comprende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Già soltanto considerando l’importo base mensile e aggiungendo la pigione dovuta per la locazione dell’abitazione di __________ (fr. 800/mese), l’assicurato presenta delle uscite maggiori alle entrate. La situazione non muterebbe nemmeno qualora si volesse considerare una partecipazione della figlia __________ alle spese di locazione (entrata nel secondo anno di formazione, ella percepisce un salario modesto - fr. 815 lordi/mese). Ritenuto, inoltre, che anche le altre condizioni poste da legge e giurisprudenza appaiono adempiute, l’istanza tendente alla concessione dell’assistenza giudiziaria va accolta, riservate eventuali modifiche della situazione economica dell’interessato.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