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35.2016.106 vom 10. April 2017</w:t>
      </w:r>
    </w:p>
    <w:p>
      <w:r>
        <w:t>TI Tribunale d'appello, 2017-04-10, IT</w:t>
      </w:r>
    </w:p>
    <w:p>
      <w:r>
        <w:rPr>
          <w:b/>
        </w:rPr>
        <w:t xml:space="preserve">Quelle: </w:t>
      </w:r>
      <w:r>
        <w:t>https://mcp.opencaselaw.ch/entscheid/ti_gerichte_35.2016.106</w:t>
      </w:r>
    </w:p>
    <w:p>
      <w:r>
        <w:t>FR: TI_GERICHTE 35.2016.106 du 10 avril 2017</w:t>
      </w:r>
    </w:p>
    <w:p>
      <w:r>
        <w:t>IT: TI_GERICHTE 35.2016.106 del 10 aprile 2017</w:t>
      </w:r>
    </w:p>
    <w:p>
      <w:pPr>
        <w:pStyle w:val="Heading2"/>
      </w:pPr>
      <w:r>
        <w:t>Regeste</w:t>
      </w:r>
    </w:p>
    <w:p>
      <w:r>
        <w:t>Esame eziologia disturbi spalla sinistra</w:t>
      </w:r>
    </w:p>
    <w:p>
      <w:pPr>
        <w:pStyle w:val="Heading2"/>
      </w:pPr>
      <w:r>
        <w:t>Erwägungen</w:t>
      </w:r>
    </w:p>
    <w:p>
      <w:r>
        <w:rPr>
          <w:b/>
        </w:rPr>
        <w:t>E. 19</w:t>
      </w:r>
    </w:p>
    <w:p>
      <w:r>
        <w:t>cpv. 1 LAINF va valutata in funzione dell’entità del previsto aumento oppure del ripristino della capacità lavorativa, nella misura in cui quest’ultima è pregiudicata dalle sequele infortunistiche (DTF 134 V 109 consid. 4.3 e riferimenti). 2.3.   Presupposto essenziale per l'erogazione di prestazioni da parte dell'assicurazione contro gli infortuni è però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2.4.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2.5.   Nella concreta evenienza, dando seguito a quanto ordinato dal TF, il quale aveva ritenuto che la documentazione medica a disposizione non consentisse di dimostrare, con il grado di verosimiglianza preponderante richiesto, l’estinzione del nesso di causalità tra i disturbi e l’evento traumatico del luglio 2007, l’CO 1 ha ordinato una perizia esterna a cura del chirurgo ortopedico dott. __________ (cfr. doc.157). Dopo aver ricostruito l’anamnesi dell’assicurato (cfr. doc. 170, p. 1-5) e averne descritto lo status clinico e radiologico (cfr. doc. 170, p. 6-7), l’esperto amministrativo ha diagnosticato un deficit della mobilità al di sopra dell’orizzontale, diminuzione della forza e della resistenza agli sforzi spalla sinistra in presenza di uno stato dopo artroscopia, tenotomia del capolungo del bicipite, débridement del cercine glenoideo, débridement di una lesione sul versante superiore della cuffia dei rotatori e della superficie ossea, acromioplastica anteriore il 5.11.2009, uno stato dopo evento infortunistico con coinvolgimento della spalla sinistra il 12.7.2007, con successivi disturbi focalizzati in corrispondenza del tendine capolungo del bicipite, regrediti in seguito all’intervento del 5.11.2009 e uno stato dopo pregressa lesione del cercine glenoideo e della componente ossea della glena (lesione di Bankart) antecedenti all’evento del 12.7.2007 (doc. 170, p. 10 e 12). Per quanto qui d’interesse, il dott. __________ ha dichiarato che le alterazioni flogistiche in sede antero-laterale, la tumefazione delle parti molli, l’edema sottocondrale a livello del tubercolo maggiore evidenziati dalla RMN del 23 agosto 2007, come pure il liquido riscontrato lungo il capolungo del bicipite all’esame ecografico del 17 luglio 2007, costituivano una probabile conseguenza del trauma occorso il 12 luglio 2007. Per contro, le alterazioni della cuffia rotatoria, il quadro artrosico acromio-clavicolare con impingement e i postumi residuali della lesione di Bankart vanno ritenuti in nesso causale con il succitato sinistro soltanto a titolo di possibilità (doc. 170, risposta al quesito n. 2). Il perito ha quindi sostenuto che l’infortunio in questione ha comportato un peggioramento temporaneo dello stato preesistente a livello della spalla sinistra, con lo status quo sine raggiunto a decorrere dal 1° marzo 2008 (doc. 170, risposta ai quesiti n. 3 e 4). D’altra parte, il dott. __________ ha segnalato l’esistenza d’incongruenze nella descrizione della dinamica dell’evento che ha visto vittima RI 1. In particolare, a partire da marzo 2012, negli atti non figura più la nozione di “scivolamento” e ha trovato invece spazio quella di “strattone” (si veda il rapporto 6 marzo 2012 del dott. __________ – doc. 125b, p. 1: “Il 12 luglio 2007, dopo aver terminato di gettare un muro in cemento armato, unitamente ad un compagno, il paziente si appresta a ritirare gli attrezzi di lavoro usati. Il compagno lo precedeva reggendo l’ago del vibratore mentre il paziente lo seguiva reggendo il motore del vibratore del peso di circa kg. 12. Il collega è successivamente inciampato strattonando il paziente , il quale ha perso l’equilibrio …” – il corsivo è del redattore). Egli ha quindi sostenuto che se, dal punto di vista amministrativo, ci si fondasse sulla versione fornita in un secondo tempo, “…, in considerazione del tenore del rapporto del dr. __________ del 19.11.2010, una chiusura del caso senza postumi (scomparsa delle fitte dolorose) indennizzabili potrebbe ragionevolmente venir presa in considerazione 4-6 settimane dopo la tenotomia del capolungo del bicipite effettuata il 5.11.2009.” (doc. 170, p. 1). Per maggiore comprensione, va precisato che il dott. Gehri, nel citato suo referto, aveva spiegato che un trauma con contusione diretta della spalla non è atto a causare una lesione Slap, mentre lo sarebbe, segnatamente, un trauma di trazione all’arto superiore (cfr. doc. 99, p. 2). Con la decisione formale dell’11 aprile 2016, l’assicuratore convenuto ha fatto proprie le conclusioni del dott. __________, dichiarando pertanto estinto il proprio obbligo a prestazioni a partire dal 1° marzo 2008, data a partire dalla quale l’insorgente è reputato aver raggiunto lo status quo sine a margine del sinistro del 12 luglio 2007 (cfr. doc. 173). Privatamente interpellato dall’assicurato, con apprezzamento del 6 settembre 2016, il dott. __________, spec. FMH in chirurgia e medicina generale, è invece pervenuto alla conclusione che “… l’estinzione del nesso di causalità può essere considerata solo dopo l’avvenuto intervento operatorio del 5.11.2009.”. A sostegno del suo parere, egli ha argomentato segnatamente che “tenuto conto essersi consumata una contusione diretta e del fatto che la prima sonografia dimostrò la presenza di parecchio liquido e/o ematoma nello spazio peritendineo, nonché la circostanza secondo cui tutte le risonanze magnetiche dimostrarono comunque alterazioni, benché plausibili che radiologicamente potrebbero essere riconducibili a tendinite, in ugual misura non si può escludere che, clinicamente, potrebbero essere anche causate da aderenze formatesi fra la guaina del tendine ed il periosto zona di ancoraggio del percorso nel solco intertubercolare del tendine del caput longus del bicipite e pertanto in diretta connessione con la contusione diretta avvenuta nell’infortunio in causa o anche dalla contusione delle terminazioni nervose con componente cicatriziale della guaina del tendine e sugli ancoraggi delle fissazioni nel solco e non alterazione diretta dello stesso (se la guaina del tendine è alterata forma indubbiamente dei versamenti lungo il percorso del tendine stesso). Inoltre, la scomparsa di questi dolori – accertati e menzionati da tutti gli attori che hanno esaminato il paziente – dopo l’intervento del 5.11.2009 risultano più che eclatanti quale dimostrazione di una alterazione non del tendine medesimo ma della sua guaina e sue inserzioni a livello del periosto nel solco intertubercolare dell’omero sinistro dopo trauma diretto in questa sede con sintomatologia che si è prolungata nel tempo fino all’intervento di tenotomia del 2009. Or dunque la posizione di CO 1 non risulta obiettiva se non tiene conto delle circostanze sopra illustrate; in sostanza non si può parlare di peggioramento temporaneo poiché qui si è confrontati con un problema diretto a livello della guaina, inserzione della guaina, caput longus del bicipite derivante dal trauma, tanto è vero che la sintomatologia è sempre stata presente sino all’intervento di tenotomia .” (doc. 185 – il corsivo è del redattore). In corso di causa, Questo Tribunale ha invitato il dott. __________ a esprimersi sul contenuto dell’apprezzamento elaborato nel frattempo dal dott. __________ (cfr. doc. IX). Questo in particolare il tenore della risposta che egli ha fornito in data 20 febbraio 2017: " (…). Dopo un riscontro ecografico iniziale di “parecchio liquido nel capolungo del bicipite” (dr. __________ 17.7.2007), l’esame di risonanza magnetica eseguito il 23.08.2007 (6 settimane circa dopo l’evento) ha documentato in particolare la normalità del tendine del capolungo del bicipite con unicamente una minima peri-tendinite nel contesto per contro di importanti reperti flogistici diffusi. Il tendine del capolungo del bicipite mostra quindi un processo evolutivo rapidamente favorevole, ben diverso dal resto della spalla, con presenza di un quadro flogistico diffuso 6 settimane dopo l’evento. Il riscontro di distensioni della guaina del tendine del capolungo del bicipite in concomitanza con le risonanze magnetiche eseguite il 12.6.2008 e 3.6.2009 risulta essere aspecifico e non implica a priori la persistenza di un nesso di causalità con l’evento del 12.7.2007. Questo in considerazione non solo dell’evoluzione favorevole iniziale (vedi sopra), ma pure del coinvolgimento diretto del tendine capolungo del bicipite in una lesione SLAP. Le ipotesi espresse dal dr. __________ a spiegazione dei disturbi accusati dal signor RI 1 (formazione di aderenze, contusione delle terminazioni nervose), non vengono suffragate da rispettivi reperti oggettivabili. L’ipotesi in particolare di alterazioni strutturali contusive delle terminazioni nervose non trova inoltre neppure riscontro nella regressione dei disturbi accusati in seguito all’intervento di tenotomia non avendo quest’ultimo nessun effetto potenziale su dette terminazioni neurologiche lesionate. Esso non trovano conferma neppure nel tenore delle considerazioni espresse dal dr. __________ che pone chiaramente l’origine dei disturbi accusati dal signor RI 1 a livello delle alterazioni della glena. (…). L’intervento di tenotomia del capolungo del bicipite comporta la sezione del tendine in corrispondenza della sua inserzione al bordo superiore della glena, togliendo quindi l’effetto di trazione sul labbro glenoidale, con o senza fissazione (a discrezione del chirurgo) nelle parti molli all’altezza del solco intertubercolare. (…). Contrariamente a quanto riferito dal dr. __________ nel rapporto del 6.9.2016, la regressione dei disturbi dopo la tenotomia (sezione) del capolungo del bicipite è da ricondurre alla ripercussione sul decorso intra-articolare del tendine, rispettivamente sulla sua inserzione in corrispondenza del bordo superiore della glena (assieme al labbro glenoidale). L’intervento non esercita per contro degli effetti sul tendine nel suo tragitto nel solco intertubercolare a più forte ragione in caso di aderenze cicatriziali oppure di alterazioni strutturali delle terminazioni nervose: questa parte del tendine, situata a valle della sezione, risulta in effetti essere esposta in maniera praticamente invariata alle sollecitazioni delle contrazioni muscolari. Le sollecitazioni di questo tratto tendineo potrebbero risultare de facto addirittura superiori nel caso di un reinserimento del tendine nelle parti molli all’altezza del solco (tenodesi).” (doc. X) Con le proprie osservazioni del 13 marzo 2017, l’insorgente contesta che alla valutazione del perito amministrativo possa essere attribuito pieno valore probatorio, ritenendola non convincente. Egli ha del resto sottolineato che l’apprezzamento agli atti del dott. __________ sarebbe suscettibile di generare dei dubbi - anche se lievi basterebbe - circa la fondatezza delle conclusioni a cui è pervenuto lo specialista incaricato dall’istituto assicuratore (cfr. doc. XIII). 2.6.   Il ricorrente fa dunque innanzitutto valere che il parere del dott. __________ sarebbe atto a generare dei dubbi circa la fondatezza della valutazione enunciata dal chirurgo ortopedico dott. __________, precisato che, secondo la giurisprudenza federale, un lieve dubbio è sufficiente per negare il valore probatorio al rapporto allestito da un medico che si trova alle dipendenze dell’amministrazione (cfr. doc. XIII). Chiamata a pronunciarsi al riguardo, questa Corte rileva che il dott. __________ non ha agito in qualità di medico fiduciario (interno) dell’CO 1 ma a titolo di perito esterno , incaricato dall’amministrazione in ossequio alla procedura di cui all’art. 44 LPGA. Dalle carte processuali si evince in effetti che, in data 26 giugno 2014, l’istituto ha comunicato il nominativo del perito (il dott. __________ appunto) e il catalogo dei quesiti da sottoporre a quest’ultimo, accordando all’allora patrocinatore dell’assicurato un termine per determinarsi in merito “… - al principio della perizia, - al perito, - alle domande.” (doc. 155). Il 14 luglio 2014, il rappresentante ha informato l’assicuratore di non avere “… obiezioni sui tre quesiti sollevati.” (cfr. doc. 156). In queste condizioni, la giurisprudenza di cui alla DTF 135 V 465, richiamata dal ricorrente, non può dunque trovare applicazione nel caso di specie. Al referto peritale allestito dal dott. __________ va riconosciuta piena forza probatoria, sempre che esso risulti affidabile dal profilo del suo contenuto (cfr. U. Meyer, Ausgewählte Schriften, Verfahrensfragen/Die Beweisführung im Sozialversicherungsrecht, 2013; D. Cattaneo, Les expertises en droit des assurances sociales, in CGSS n. 44-2010, p. 119). Fatta questa precisazione, tutto ben considerato, il TCA ritiene di poter fondare il proprio giudizio sull’apprezzamento espresso dal dott. __________, specialista proprio nella materia che qui interessa e che vanta un’ampia esperienza nella medicina infortunistica e assicurativa, secondo il quale RI 1 ha raggiunto lo status quo sine a margine del sinistro del luglio 2007, a far tempo dal 1° marzo 2008. In questo senso, va sottolineato come lo specialista appena citato, interpellato dal TCA in corso di causa, abbia saputo rispondere alle obiezioni sollevate dal dott. __________ nella sua certificazione del 6 settembre 2016. Egli ha spiegato, fornendo al riguardo una convincente motivazione, le ragioni per le quali quanto sostenuto dal sanitario privatamente consultato dall’insorgente - peraltro a titolo di semplice ipotesi (cfr. doc. 185, p. 2: “… non si può escludere che, …”) – non risulta sostenibile dal punto di vista medico-scientifico (in proposito, cfr. supra , consid. 2.5.). Questo Tribunale non ignora che, in via subordinata, il dott. __________ ha affermato che potrebbe giustificarsi una chiusura del caso a distanza di 4-6 settimane dall’intervento di tenotomia del 5 novembre 2009 (anziché dal 1° marzo 2008) qualora, dal profilo amministrativo, ci si fondasse sulla descrizione dell’evento infortunistico in cui si fa accenno all’insorgenza di un trauma da trazione interessante l’arto superiore sinistro (di per sé potenzialmente atto a causare una lesione SLAP) (cfr. doc. 170, p. 11). Tuttavia, il TCA non ritiene giustificato far capo a questa versione dei fatti, posto che essa è stata fornita, per la prima volta , dal dott. __________ nel suo rapporto del 6 marzo 2012 (cfr. doc. 125b, p. 1), allorquando, in precedenza, si è costantemente parlato di uno scivolamento con caduta e contusione diretta (segnatamente) dell’arto sinistro (si veda, in particolare, il rapporto allestito in occasione dell’audizione dell’assicurato del 17 ottobre 2007 - doc. 30, oppure il ricorso da lui stesso inoltrato al TF in data 28 giugno 2012 –doc. 131, p. 2 “In data 12 luglio 2007, RI 1 – (…) – è scivolato su un muro e ha battuto l’addome e la spalla sinistra.”). Del resto, così come ha pertinentemente osservato il dott. __________, lo stesso dott. __________, nel suo apprezzamento del 6 settembre 2016, non ha più preteso che il ricorrente sarebbe rimasto vittima di un trauma da trazione (cfr. doc. 185). In esito a tutto quanto precede, il Tribunale ritiene quindi dimostrato, perlomeno con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il nesso di causalità naturale con l’evento traumatico del luglio 2007 si è estinto il 1° marzo 2008, data in cui è stato raggiunto lo status quo sine . Il TCA può esimersi dal disporre ulteriori misure istruttorie, in particolare una perizia medica giudiziaria, ritenendo che le circostanze giuridicamente rilevanti siano già state adeguatamente accertate. In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(cfr. STF 9C_632/2012 del 10 gennaio 2013; STF 9C_231/2012 del 24 agosto 2012), senza che ciò costituisca una lesione del diritto di essere sentito sancito dall'art. 29 cpv. 2 Cost. (DTF 124 V 94 consid. 4b, 122 V 162 consid. 1d e sentenza ivi citata). In queste condizioni, posto che l’CO 1 era legittimato a negare il diritto a ulteriori prestazioni posteriormente al 29 febbraio 2008, la decisione su opposizione impugnata merita conferma in questa sede.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