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35.2015.91 vom 15. Februar 2016</w:t>
      </w:r>
    </w:p>
    <w:p>
      <w:r>
        <w:t>TI Tribunale d'appello, 2016-02-15, IT</w:t>
      </w:r>
    </w:p>
    <w:p>
      <w:r>
        <w:rPr>
          <w:b/>
        </w:rPr>
        <w:t xml:space="preserve">Quelle: </w:t>
      </w:r>
      <w:r>
        <w:t>https://mcp.opencaselaw.ch/entscheid/ti_gerichte_35.2015.91</w:t>
      </w:r>
    </w:p>
    <w:p>
      <w:r>
        <w:t>FR: TI_GERICHTE 35.2015.91 du 15 février 2016</w:t>
      </w:r>
    </w:p>
    <w:p>
      <w:r>
        <w:t>IT: TI_GERICHTE 35.2015.91 del 15 febbraio 2016</w:t>
      </w:r>
    </w:p>
    <w:p>
      <w:pPr>
        <w:pStyle w:val="Heading2"/>
      </w:pPr>
      <w:r>
        <w:t>Regeste</w:t>
      </w:r>
    </w:p>
    <w:p>
      <w:r>
        <w:t>Incidente stradale con frattura braccio dx. Diritto alla rendita d'invalidità (in particolare, applicabilità RSS 2012 per la determinazione del reddito da invalido). Entità della menomazione all'integrità. Negata AG poiché ricorso privo di esito favorevole</w:t>
      </w:r>
    </w:p>
    <w:p>
      <w:pPr>
        <w:pStyle w:val="Heading2"/>
      </w:pPr>
      <w:r>
        <w:t>Erwägungen</w:t>
      </w:r>
    </w:p>
    <w:p>
      <w:r>
        <w:rPr>
          <w:b/>
        </w:rPr>
        <w:t>E. 28</w:t>
      </w:r>
    </w:p>
    <w:p>
      <w:r>
        <w:t>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2.2.3.   Nella concreta evenienza, dalle tavole processuali si evince che, per chiarire la questione riguardante lesigibilità lavorativa, lIstituto assicuratore ha fatto capo alla valutazione espressa dalla dott.ssa __________, spec. FMH in chirurgia ortopedica, a margine della visita di chiusura del 17 novembre 2014.</w:t>
      </w:r>
    </w:p>
    <w:p>
      <w:r>
        <w:t>Tenuto conto del riserbo di cui deve dare prova il giudice delle assicurazioni sociali nel sostituire il proprio apprezzamento a quello dellamministrazione (cfr. DTF 137 V 71, 132 V 393 consid. 3.3), questo Tribunale ritiene che, operando una decurtazione del 15%, lamministrazione non abbia abusato del proprio potere di apprezzamento.</w:t>
      </w:r>
    </w:p>
    <w:p>
      <w:r>
        <w:t>2.3.1.   Secondo l'art. 24 cpv. 1 LAINF, l'assicurato ha diritto ad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2.3.3.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2.3.4.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2.3.5.   Lassicuratore LAINF resistente, sentito il parere del proprio medico __________, ha posto il ricorrente al beneficio di unIMI del 15% (cfr. doc. 164, p. 2).</w:t>
      </w:r>
    </w:p>
    <w:p>
      <w:r>
        <w:t>A margine della visita di chiusura del 17 novembre 2014, la dott.ssa __________, spec. FMH in chirurgia ortopedica, ha espresso la seguente valutazione:</w:t>
      </w:r>
    </w:p>
    <w:p>
      <w:r>
        <w:t>15%</w:t>
      </w:r>
    </w:p>
    <w:p>
      <w:r>
        <w:t>3.      Motivazione</w:t>
      </w:r>
    </w:p>
    <w:p>
      <w:r>
        <w:t>Secondo la tabella 1.2 una lesione del nervo ascellare dà diritto ad una indennità per menomazione allintegrità del 25%. Siamo in presenza di una lesione parziale e non totale del nervo ascellare, motivo per cui attribuirei il 12.5%. Secondo la stessa tabella una periartropatia omeroscapolare di entità media dà diritto ad una IMI del 10%. Secondo la stessa tabella una limitazione della mobilità fino a 90° dà diritto ad una IMI del 15%.</w:t>
      </w:r>
    </w:p>
    <w:p>
      <w:r>
        <w:t>Tutto sommato si sceglie il valore del 15%</w:t>
      </w:r>
    </w:p>
    <w:p>
      <w:r>
        <w:t>Con la propria impugnativa, linsorgente sostiene invece di avere diritto a unIMI superiore al 25% (cfr. doc. I, p. 6), rispettivamente del 50% (cfr. doc. XIII, p. 2 s.).</w:t>
      </w:r>
    </w:p>
    <w:p>
      <w:r>
        <w:t>2.4.   Deve ancora essere verificato se il ricorrente può essere posto al beneficio dellassistenza giudiziaria con il gratuito patrocinio (cfr. doc. I, 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