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35.2015.90 vom 1. Februar 2016</w:t>
      </w:r>
    </w:p>
    <w:p>
      <w:r>
        <w:t>TI Tribunale d'appello, 2016-02-01, IT</w:t>
      </w:r>
    </w:p>
    <w:p>
      <w:r>
        <w:rPr>
          <w:b/>
        </w:rPr>
        <w:t xml:space="preserve">Quelle: </w:t>
      </w:r>
      <w:r>
        <w:t>https://mcp.opencaselaw.ch/entscheid/ti_gerichte_35.2015.90</w:t>
      </w:r>
    </w:p>
    <w:p>
      <w:r>
        <w:t>FR: TI_GERICHTE 35.2015.90 du 1 février 2016</w:t>
      </w:r>
    </w:p>
    <w:p>
      <w:r>
        <w:t>IT: TI_GERICHTE 35.2015.90 del 1 febbraio 2016</w:t>
      </w:r>
    </w:p>
    <w:p>
      <w:pPr>
        <w:pStyle w:val="Heading2"/>
      </w:pPr>
      <w:r>
        <w:t>Regeste</w:t>
      </w:r>
    </w:p>
    <w:p>
      <w:r>
        <w:t>Rifiuto rendita e IMI per danno organico,negata adeguatezza nesso causale per danno psichico.Per i soli disturbi visivi occorre un approfondimento medico volto a stabilire se già prima dell'infortunio assicurato presentasse o meno una situazione di monocolo.Atti rinviati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ha pertanto richiesto allassicurato di fornire i dati ritenuti indispensabili dalla dr.ssa __________, invitandolo esplicitamente a volere fare pervenire al più presto i valori del visus precedenti allinfortunio di entrambi gli occhi (non le ricette per gli occhiali). Voglia pertanto recuperare tale documentazione presso il suo medico oculista curante o il suo ottico (doc. 65).</w:t>
      </w:r>
    </w:p>
    <w:p>
      <w:r>
        <w:t>Come riportato nella nota telefonica del 25 marzo 2014 redatta dal funzionario incaricato dellassicuratore LAINF, lassicurato non è stato in grado di trasmettere la documentazione dei suoi oculisti curanti, essendo luno andato in pensione e, laltro, deceduto.</w:t>
      </w:r>
    </w:p>
    <w:p>
      <w:r>
        <w:t>Quanto alla documentazione che linteressato avrebbe dovuto ottenere dallottico, dalla nota telefonica risulta che ha contattato lottico ma lui non è in possesso di questi rapporti e dati. Aveva solamente la correzione per la ricetta degli occhiali (che ci ha già fatto avere). Può solo dirci che comunque la situazione allocchio sinistro (prima dellinfortunio) si era risolta e infatti era tornato a lavorare al 100%. Aveva inoltre superato tre rinnovi di patente in Italia ed è la prova che non cerano problemi preesistenti (cfr. doc. 66).</w:t>
      </w:r>
    </w:p>
    <w:p>
      <w:r>
        <w:t>2.3.4.   Chiamato a pronunciarsi, il TCA non può, senza che prima vengano svolti ulteriori approfondimenti, concordare con  le conclusioni dellamministrazione, la quale, basandosi sul parere della dr.ssa __________, ha considerato pienamente esigibile la professione di giardiniere svolta dallinteressato, non avendo linfortunio peggiorato la situazione visiva allocchio sinistro, già compromessa prima del verificarsi di tale evento.</w:t>
      </w:r>
    </w:p>
    <w:p>
      <w:r>
        <w:t>Nella presa di posizione del 10 giugno 2014, la dr.ssa __________ ha, infatti, concluso che avendo presentato lassicurato una situazione di monocolo già prima dellinfortunio, lusuale attività continua ad essere esigibile e, in difetto di peggioramento del visus, non vi è alcuna menomazione dellintegrità (doc. 71).</w:t>
      </w:r>
    </w:p>
    <w:p>
      <w:r>
        <w:t>Tale questione riveste unimportanza decisiva, posto che la stessa dr.ssa __________, in data 4 febbraio 2014, ha indicato che, da monocolo, lusuale attività di giardiniere non è più da considerare esigibile e che, in assenza di lesioni preesistenti, lIMI sarebbe del 28% in considerazione di un visus inferiore allo 0.1 (cfr. doc. 58).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