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35.2015.83 vom 5. November 2015</w:t>
      </w:r>
    </w:p>
    <w:p>
      <w:r>
        <w:t>TI Tribunale d'appello, 2015-11-05, IT</w:t>
      </w:r>
    </w:p>
    <w:p>
      <w:r>
        <w:rPr>
          <w:b/>
        </w:rPr>
        <w:t xml:space="preserve">Quelle: </w:t>
      </w:r>
      <w:r>
        <w:t>https://mcp.opencaselaw.ch/entscheid/ti_gerichte_35.2015.83</w:t>
      </w:r>
    </w:p>
    <w:p>
      <w:r>
        <w:t>FR: TI_GERICHTE 35.2015.83 du 5 novembre 2015</w:t>
      </w:r>
    </w:p>
    <w:p>
      <w:r>
        <w:t>IT: TI_GERICHTE 35.2015.83 del 5 novembre 2015</w:t>
      </w:r>
    </w:p>
    <w:p>
      <w:pPr>
        <w:pStyle w:val="Heading2"/>
      </w:pPr>
      <w:r>
        <w:t>Regeste</w:t>
      </w:r>
    </w:p>
    <w:p>
      <w:r>
        <w:t>Entità della rendita di invalidità calcolata dall'amministrazione utilizzando, quale reddito da invalido, il dato mediano risultante dalle DPL è corretta</w:t>
      </w:r>
    </w:p>
    <w:p>
      <w:pPr>
        <w:pStyle w:val="Heading2"/>
      </w:pPr>
      <w:r>
        <w:t>Erwägungen</w:t>
      </w:r>
    </w:p>
    <w:p>
      <w:r>
        <w:rPr>
          <w:b/>
        </w:rPr>
        <w:t>E. 29</w:t>
      </w:r>
    </w:p>
    <w:p>
      <w:r>
        <w:t>settembre 2011, dove peraltro il piede destro non è stato assolutamente coinvolto”, aggiungendo che “ritengo quindi che una problematica di eventuale sovraccarico del piede destro a causa della problematica del ginocchio sinistro sia da escludere” (doc. III/1). Anche su questo punto non occorre quindi dilungarsi oltre. 2.2.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conoscenze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2.4.   Nella concreta evenienza, dalle carte processuali si evince che, per chiarire la questione della capacità/esigibilità lavorativa, l’Istituto assicuratore si è basato sul rapporto del 6 ottobre 2014 stilato dal dr. __________, specialista FMH in chirurgia ortopedica e traumatologia dell’apparato locomotore, medico di __________ dell’CO 1, a margine della visita di chiusura del 3 ottobre 2014. Il dr. __________ ha descritto l’esigibilità lavorativa nel seguente modo: " (…) Esigibilità del lavoro: per quanto riguarda l’esigibilità ritengo che l’assicurato possa molto spesso sollevare pesi fino a 10 kg. Di rado pesi fino a 25 kg ma mai più di  25 kg. Molto spesso può sollevare pesi anche oltre i 5 kg oltre l’orizzonte. Può molto spesso effettuare lavori leggeri e di precisione. Spesso lavori medi. Di rado lavori pesanti ma non può più svolgere lavori molto pesanti. La rotazione della mano può essere effettuata molto spesso. L’assicurato può effettuare lavori sopra la testa molto spesso ed effettuare la rotazione del busto molto spesso. Spesso può mantenere la posizione seduta e inclinata in avanti e talvolta anche la posizione in piedi e inclinata in avanti. Di rado può assumere la posizione inginocchiata ma non può più assumere la posizione con ginocchia in flessione. L’assicurato può spesso mantenere la posizione seduta. Qui riguarda soprattutto l’attività di autista dove ritengo che l’assicurato possa guidare senza interruzione per circa un’ora, successivamente deve fermarsi per sgranchirsi le gambe. Talvolta può mantenere la posizione in piedi. Può molto spesso camminare oltre i 50 m. Talvolta anche tragitti lunghi. Talvolta può spostarsi su terreni sconnessi e salire le scale, di rado può salire e scendere scale a pioli.” (Doc. 263 fasc. 3 pag. 7-8) L’amministrazione ha quindi considerato l’assicurato pienamente abile al lavoro in un’attività leggera, rispettosa dei limiti funzionali elencati dal medico di circondario (doc. 301 fasc. 3). Il patrocinatore dell’assicurato, in sede di opposizione cautelativa e nella successiva motivazione del 30 giugno 2015, non ha contestato, dal profilo medico, la valutazione dell’esigibilità lavorativa nello svolgimento di attività leggere adatte fornita dal medico di circondario. Solo in sede ricorsuale egli ha rilevato che l’assicurato non può più svolgere la precedente attività di autista – visto che la possibilità di svolgere delle pause non é sempre data e alla luce della necessità, per un autista, di doversi inginocchiare e salire su scale a pioli per controllare il carico (cfr. doc. I, pag. 28) - fatto questo non messo in discussione dall’assicuratore LAINF, il quale ha, infatti, proceduto al calcolo della rendita di invalidità facendo riferimento alle attività adatte che, tenuto conto dei soli postumi infortunistici, sono ancora esigibili, dal profilo medico, da parte dell’interessato. Non vi è quindi ragione di dilungarsi oltre sull’argomento. 2.5. Si tratta quindi di valutare le conseguenze economiche del danno alla salute infortunistico. Per quanto concerne il reddito da valido , secondo l’CO 1, l'insorgente avrebbe guadagnato nel 2015 (su questo aspetto, si veda la DTF 128 V 174) - qualora non fosse rimasto vittima dell’infortunio assicurato - un importo annuo di fr. 65’442.00 (cfr. doc. 297 fasc. 3). Questo dato - non contestato dal ricorrente e desunto direttamente dalle informazioni fornite dal suo ex datore di lavoro (cfr. doc. 296 fasc. 3 e doc. 221 fasc. 2) - può senz’altro essere fatto proprio dal TCA. 2.6.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2.7.   Dalla decisione su opposizione impugnata risulta che l’amministrazione ha quantificato in fr. 52’197.60 annui il reddito da invalido, facendo capo al metodo delle DPL (doc. B). È pertanto risultato che nelle attività sostitutive che l'insorgente sarebbe in grado di esercitare tenuto conto del danno alla salute, e meglio l’assistente amministrativo (impiegato) presso la ditta __________ di __________, l’operaio alla fabbricazione trapani presso la __________ di __________, il raffilatore presso la __________ di __________, il preparatore di cioccolata presso la __________ di __________ e, infine, il fattorino di distribuzione presso le __________ di __________, i dipendenti di tali ditte percepivano in media, nel 2015, un reddito annuo pari a fr. 53'128 (doc. 298 fasc. 3). D’altro canto, sempre in conformità alla giurisprudenza suevocata, l'assicuratore infortuni ha fornito informazioni sul numero globale dei posti di lavoro che entrano in linea di conto alla luce degli impedimenti presentati dall'assicurata, sul salario massimo e minimo, così come sul salario medio. In effetti, dalla tabella di cui al doc. 298 fasc. 3 si evince che sono 39 i posti di lavoro che entrano in considerazione, che i salari minimo e massimo ammontano, rispettivamente, a fr. 38’869 e a fr. 78'000 annui, e infine che quello medio è di fr. 53'128 annui. Il TCA constata che il valore considerato dall’assicuratore LAINF convenuto (fr. 52’197.60 annui) è inferiore rispetto alla media dei salari medi (fr. 53’128.--), ciò a tutto vantaggio dell’assicurato. In conclusione - assodato che i cinque posti di lavoro segnalati dall’amministrazione rispettano le limitazioni funzionali derivanti dal danno alla salute - il reddito da invalido è stato validamente determinato in base alle DPL. Esso ammonta a fr. 52’197.60 . Decurtazioni sul reddito da invalido stabilito in applicazione delle DPL non possono entrare in linea di conto, considerato il sistema stesso su cui si fonda questa modalità di fissazione del reddito (cfr. DTF 129 V 472 consid. 4.2.3). Per inciso, a proposito delle contestazioni del patrocinatore del ricorrente, a mente del quale andrebbe preso in considerazione, quale reddito da invalido, l’importo minimo di fr. 48'794 di cui alle DPL - che “in considerazione della formazione e dell’età, appare più appropriato” (doc. I) - questo Tribunale rileva, innanzitutto, che la cifra riportata dall’avv. RA 1 non corrisponde agli importi minimi figuranti nelle DPL prodotte dall’assicuratore LAINF (cfr. doc. 298 fasc. 3). In ogni caso, il TCA evidenzia che, ai sensi della giurisprudenza sopra esposta (cfr. consid. 2.6.), l’amministrazione ha agito correttamente facendo capo al valore mediano di cui alle 5 DPL selezionate, senza effettuare alcuna decurtazione per tenere conto delle specificità della situazione concreta dell’interessato, possibilità quest’ultima esclusa nei casi di fissazione del reddito da invalido secondo le DPL. Infine, questo Tribunale osserva che il reddito da invalido ottenuto dall’assicuratore LAINF sulla base alle DPL è ben inferiore rispetto a quello calcolato dall’Ufficio AI facendo capo ai dati statistici di cui alla tabella TA1 con riferimento ad attività semplici e ripetitive e dopo avere operato le riduzioni opportune per tenere conto delle specificità del caso concreto. Infatti, dal progetto di decisione del 23 febbraio 2015 - con il quale l’UAI ha soppresso la rendita di invalidità, alla luce di un grado AI dell’8% - emerge che il reddito da invalido che avrebbe potuto percepire l’assicurato, nonostante il danno alla salute, nello svolgimento di attività leggere adeguate, semplici e ripetitive, esigibili al 100% e tenuto conto di una riduzione del 5% per attività leggere, ammonta a fr. 59'732 annui (cfr. doc. 293 fasc. 3). Il grado di invalidità del ricorrente - stabilito confrontando i fr. 52'197.60 annui al reddito che egli avrebbe potuto conseguire se non fosse intervenuto il danno alla salute, e cioè fr. 65'442 annui (cfr. consid. 2.5.) - è del 20.24% arrotondato al 20% secondo la giurisprudenza di cui alla DTF 130 V 121 consid. 3.2. (= SVR 2004 UV Nr. 11 p. 41). Visto che, con la decisione su opposizione impugnata, l’CO 1 ha riconosciuto a RI 1 una rendita di invalidità proprio del 20%, il suo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