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35.2015.77 vom 18. November 2015</w:t>
      </w:r>
    </w:p>
    <w:p>
      <w:r>
        <w:t>TI Tribunale d'appello, 2015-11-18, IT</w:t>
      </w:r>
    </w:p>
    <w:p>
      <w:r>
        <w:rPr>
          <w:b/>
        </w:rPr>
        <w:t xml:space="preserve">Quelle: </w:t>
      </w:r>
      <w:r>
        <w:t>https://mcp.opencaselaw.ch/entscheid/ti_gerichte_35.2015.77</w:t>
      </w:r>
    </w:p>
    <w:p>
      <w:r>
        <w:t>FR: TI_GERICHTE 35.2015.77 du 18 novembre 2015</w:t>
      </w:r>
    </w:p>
    <w:p>
      <w:r>
        <w:t>IT: TI_GERICHTE 35.2015.77 del 18 novembre 2015</w:t>
      </w:r>
    </w:p>
    <w:p>
      <w:pPr>
        <w:pStyle w:val="Heading2"/>
      </w:pPr>
      <w:r>
        <w:t>Regeste</w:t>
      </w:r>
    </w:p>
    <w:p>
      <w:r>
        <w:t>Trauma distorsivo/contusivo polso sx nel 01/1990. Ricaduta nel 2013. Detrminazione entità grado d'invalidità (mediante metodo del raffronto dei redditi) e menomazione all'integrità</w:t>
      </w:r>
    </w:p>
    <w:p>
      <w:pPr>
        <w:pStyle w:val="Heading2"/>
      </w:pPr>
      <w:r>
        <w:t>Erwägungen</w:t>
      </w:r>
    </w:p>
    <w:p>
      <w:r>
        <w:rPr>
          <w:b/>
        </w:rPr>
        <w:t>E. 19</w:t>
      </w:r>
    </w:p>
    <w:p>
      <w:r>
        <w:t>cpv. 1 LAINF va valutata in funzione dell’entità del previsto aumento oppure del ripristino della capacità lavorativa, nella misura in cui quest’ultima è pregiudicata dalle sequele infortunistiche (DTF 134 V 109, consid. 4.3 e riferimenti). 2.2.2.   Nel caso in specie, a margine della visita medica di chiusura del 17 ottobre 2014, il dott. __________, spec. FMH in chirurgia ortopedica, ha dichiarato che “attualmente non ci sono altre proposte diagnostiche o terapeutiche.” (doc. 258). D’altro canto, il TCA osserva che, successivamente alla visita di chiusura, gli specialisti consultati dall’assicurato non hanno formulato particolari proposte terapeutiche miranti a migliorare lo stato del polso sinistro (in questo senso, si vedano i rapporti 16 gennaio, 15 aprile e 10 giugno 2015 del chirurgo della mano dott. __________ [cfr. doc. 273, 293 e 309], nonché la certificazione 6 ottobre 2015 del traumatologo dott. __________ [doc. C]). Il fatto che, nel corso dei prossimi anni, RI 1 dovrà essere sottoposto a un intervento di asportazione del materiale di osteosintesi (cfr. doc. 287), non è d’ostacolo alla stabilizzazione delle sue condizioni di salute infortunistiche, segnalato che, in una sentenza del 30 luglio 1993 nella causa V. non pubblicata, il TFA ha esplicitamente indicato che una futura AMO non giustifica il versamento di ulteriori prestazioni di corta durata (in particolare di ulteriori indennità giornaliere) (in questo senso, si vedano pure le STCA 35.2004.56 del 3 dicembre 2004 e 35.2014.51 consid. 2.4.4.). Alla luce delle considerazioni che precedono, questo Tribunale ritiene di poter condividere la conclusione dell’assicuratore resistente secondo il quale, il 31 dicembre 2014, lo stato di salute infortunistico era da considerarsi stabilizzato ai sensi dell’art. 19 cpv. 1 LAINF. Esso era quindi legittimato a porre fine alle prestazioni di corta durata, in particolare all’indennità giornaliera, e a definire il diritto alle prestazioni di lunga durata (rendita d’invalidità e IMI). Pertanto, nella misura in cui il ricorrente sembra pretendere che l’CO 1 venga obbligato a versargli indennità giornaliere corrispondenti a un’incapacità lavorativa del 50% almeno sino alla fine del mese di agosto 2015, questa sua pretesa si rivela infondata. 2.3. Entità della rendita d’invalidità.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che recita: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2.3.3.   Nella concreta evenienza, dalla decisione su opposizione impugnata risulta che l’istituto assicuratore ha riconosciuto all’assicurato una rendita d’invalidità del 13%, facendo capo alla valutazione dell’esigibilità lavorativa espressa dal medico di __________ in occasione della visita di chiusura del 17 ottobre 2014 (cfr. doc. 316, p. 4 s.). In effetti, dopo aver refertato la presenza di dolori cronici a livello delle articolazioni radio-ulnare e ulno-carpica nonché dello stiloide radiale, il dott. __________ ha descritto nei seguenti termini l’esigibilità lavorativa dell’insorgente: " (…). L’assicurato può sollevare molto spesso pesi fino a 10 kg fino all’altezza dei fianchi. Talvolta può alzare pesi medi tra 10 e 25 kg fino all’altezza dei fianchi. Mai può sollevare pesi pesanti sopra i 25 kg fino all’altezza dei fianchi. Spesso può sollevare oltre all’altezza del petto pesi fino a 5 kg e talvolta sollevare oltre l’altezza del petto più di 5 kg. L’assicurato molto spesso può eseguire lavori leggeri e di precisione e lavori medi. Talvolta può eseguire lavori pesanti e mai molto pesanti. Nessuna limitazione per quanto riguarda la rotazione della mano. Nessuna limitazione per quanto riguarda la mobilità dell’arto superiore. Può molto spesso lavorare sopra la testa con rotazione e posizione seduta/inclinata in avanti e posizione in piedi/inclinata in avanti. Molto spesso può lavorare inginocchiato e con flessione delle ginocchia. Molto spesso può stare in posizione seduta, in piedi o a libera scelta. Molto spesso può camminare fino a 50 m e oltre i 50 m e camminare per lunghi tratti. Molto spesso può camminare su terreno accidentato salire le scale. Talvolta può salire su scale a pioli. Nessuna limitazione per l’equilibrio e stare in equilibrio.” (cfr. doc. 258, p. 5) Riferendosi alle certificazioni agli atti del dott. __________, il ricorrente sostiene che il grado dell’invalidità debba essere stabilito partendo dal tasso d’incapacità lavorativa del 50% che egli presenta nella professione di piastrellista (cfr. doc. I, p. 3). In proposito, il TCA rileva che lo specialista curante, nei suoi referti 16 gennaio 2015 (cfr. doc. 273, p. 2: “Ritengo giustificata a partire dal 1.2.2015 una reintegrazione professionale al 50% come operaio edile.”) e 10 giugno 2015 (cfr. doc. 309, p. 2: “Nell’attuale attività professionale ritengo giustificata un’esigibilità lavorativa del 50%.”), ha in effetti attestato che l’assicurato presenta una capacità lavorativa soltanto parziale nella sua abituale professione. Ora, tale circostanza non è contestata ed è anzi stata esplicitamente riconosciuta dal medico di circondario dell’CO 1 (cfr. doc. 258, p. 5: “Con un’articolazione RC fissata con un’artrodesi è sconsigliato eseguire lavori pesanti sopra i 20 kg. Siccome l’assicurato deve ancora lavorare per 12-13 anni gli ho proposto di cambiare lavoro e cercarne uno dove non deve eseguire lavori pesanti con la mano sinistra in quanto come piastrellista si deve inginocchiare appoggiandosi con questa mano . La situazione può altrimenti peggiorare …” – il corsivo è del redattore). Tuttavia, così come verrà meglio dimostrato qui di seguito, il grado dell’invalidità non può essere definito in funzione della situazione lavorativa concreta, in quanto sul mercato generale del lavoro, svolgendo un’attività sostitutiva più adeguata, il ricorrente potrebbe meglio sfruttare la sua capacità residua. Del resto, in una sentenza U 334/02 del 22 aprile 2003, consid. 4.1., l’Alta Corte ha precisato che allorquando l’attività esercitata dopo l’insorgenza del danno alla salute non consente di sfruttare pienamente la residua capacità lavorativa dell’assicurato, quest’ultimo può essere costretto ad abbandonare il suo posto di lavoro per un’attività più redditizia. D’altra parte, questa Corte non ignora che, contrariamente al dott. __________ (cfr. doc. 258, p. 5), i dottori __________ e __________, spec. FMH in malattie reumatiche, hanno sostenuto che, anche in attività alternative adeguate, RI 1 presenterebbe una leggera riduzione della capacità lavorativa (cfr. doc. 293, p. 2: “Come anche sostenuto dal paziente, un’attività più leggera e consona in relazione agli interventi effettuati al polso sinistro con un’abilità lavorativa tra l’80%-100%, sarebbe plausibile.” e doc. B: “In linea teorica, per lo svolgimento di una professione fisicamente leggera, che non richieda particolari sforzi e sollecitazioni per la mano sx, egli presenta una solo leggera limitazione della capacità lavorativa di circa il 20%.”). Tuttavia, alla luce dei precedenti giurisprudenziali riportati qui di seguito, riguardanti assicurati che accusavano limitazioni nell’utilizzo degli arti superiori, la valutazione dell’esigibilità lavorativa espressa dal medico fiduciario risulta più plausibile, e ciò tenuto conto anche al fatto che, nel caso di specie, il danno alla salute interessa l’estremità superiore sinistra, ossia l’arto adominante . Ad esempio, in una sentenza inedita del 12 novembre 1996 nella causa I., il TFA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 In una sentenza 35.1997.23 dell'11 settembre 2000 - integralmente confermata dal TFA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Anche nella STFA U 200/02 del 20 maggio 2003 consid. 2.2, riguardante un’assicurata, che, a causa di un infortunio professionale alla mano sinistra adominante, aveva subito l’amputazione del pollice, dell’indice e del medio, come pure una frattura pluriframmentaria della falange basale con istabilità a livello delle articolazioni interfalangee dell’anulare, divenendo praticamente monca di una mano, l’Alta Corte ha ammesso una piena capacità lavorativa dal profilo ortopedico. In un giudizio I 27/06 e U 18/06 del 24 agosto 2006 consid. 5.2.3, il TFA ha considerato in grado di svolgere a tempo pieno semplici mansioni di sorveglianza, rispettivamente, di controllo, così come lavori in un chiosco nonchè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Infine, va pure rilevato che, in una sentenza 8C_971/2008 del 23 marzo 2009, l’Alta Corte ha precisato che anche per gli assicurati limitati nell’utilizzo della mano dominante (a maggior ragione per quelli limitati nell’uso della mano adominante), esiste un mercato del lavoro sufficientemente ampio: " Wie die Rechtsprechung wiederholt bestätigt hat, gibt es auf einem ausgeglichenen Arbeitsmarkt genügend realistische Betätigungsmöglichkeiten für Personen, welche funktionell als Einarmige zu betrachten sind und überdies nur noch leichte Arbeit verrichten können. Längst nicht alle im Arbeitsprozess im weitesten Sinne notwendigen Aufgaben und Funktionen im Rahmen der Überwachung und Prüfung werden durch Computer und automatische Maschinen ausgeführt. Abgesehen davon müssen solche Geräte auch bedient und ihr Einsatz ebenfalls überwacht und kontrolliert werden. Die Gerichtspraxis ist bisher regelmässig bei Versicherten, welche ihre dominante Hand gesundheitlich bedingt nur sehr eingeschränkt als unbelastete Zudienhand einsetzen können, von einem hinreichend grossen Arbeitsmarkt mit realistischen Betätigungsmöglichkeiten ausgegangen (Urteil 9C_418/2008 vom 17. September 2008, E. 3.2.2).“ In esito a tutto ciò, occorre concludere che il ricorrente sarebbe in grado di svolgere, a tempo pieno e con un rendimento completo, un’attività lavorativa compatibile con le limitazioni derivanti dal danno alla salute infortunistico. 2.3.4. Si tratta ora di valutare le conseguenze economiche del danno alla salute infortunistico. Per quanto concerne il reddito da valido , secondo l’istituto assicuratore, l’insorgente avrebbe guadagnato nel 2015, qualora non fosse rimasto vittima dell’infortunio assicurato, un importo annuo pari a fr. 61'100 (cfr. doc. 301). Questo dato, desunto dalle indicazioni fornite direttamente dal datore di lavoro (cfr. doc. 271 e doc. 297) e non contestato dal ricorrente, può senz’altro essere fatto proprio da questa Corte. 2.3.5.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2.3.6. Nella presente fattispecie, l’amministrazione ha quantificato in fr. 52'960 il reddito da invalido, applicando la tabella RSS TA 1 e operando decurtazioni del 6.57% a titolo di gap salariale e del 15% a titolo di deduzione sociale ex DTF 126 V 80 (cfr. doc. 301).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5'210. Riportando questo dato su 41.7 ore ( cfr. dati pubblicati sul sito web dell’UFS) esso ammonta a fr. 5'431.42 mensili oppure a fr. 65'177.04 per l'intero anno (fr. 5'431.42 x 12). Dopo adeguamento all'indice dei salari nominali da quantificare in +0.8% per il 2013, +0.7 per il 2014 e +0.6% secondo la stima trimestrale (cfr. la relativa tabella pubblicata sul sito web dell’UFS), si ottiene, per il 2015, un reddito annuo di fr. 66'545.75. L’assicurato, quale aiuto piastrellista presso la __________, avrebbe realizzato nel 2015 un reddito annuo di fr. 61'100 per un’occupazione a tempo pieno. Tale reddito si situa sotto la media dei salari per un'attività equivalente (cioè fr. 68'685.09; cfr. Tabella TA 1 2012, p.to 41-43 “ Costruzione ”, livello di qualifica 1: fr. 5'430 riportato su 41.5 ore/settimana = fr. 5'633.62 x 12 mesi = fr. 67'603.44 e aggiornato al 2015). In casu , in applicazione della giurisprudenza citata al considerando 2.3.5. in f ine , il reddito statistico da invalido (fr. 66'545.75 ) va ridotto del 6.04%, percentuale corrispondente al gap salariale (per la parte percentuale che supera la soglia del 5%) e si attesta pertanto a fr. 62'526.39 (risultato intermedio).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ha operato una decurtazione del 15% sul reddito statistico da invalido (doc. 301, p. 2). Tenuto conto del riserbo di cui deve dare prova il giudice delle assicurazioni sociali nel sostituire il proprio apprezzamento a quello dell’amministrazione (cfr. DTF 137 V 71, 132 V 393 consid. 3.3) e del fatto che il ricorrente non ha sollevato alcuna obiezione al riguardo, questo Tribunale ritiene che, operando una tale decurtazione, l’CO 1 non abbia abusato del proprio potere di apprezzamento. Il reddito da invalido, tenuto conto di una decurtazione del 15%, ammonta dunque a fr. 53'147.44. Il grado di invalidità del ricorrente - stabilito confrontando i fr. 53'147.44 al reddito che egli avrebbe potuto conseguire se non fosse intervenuto l’infortunio, e cioè fr. 61'100 – risulta essere del 13.01%, arrotondato al 13% secondo la giurisprudenza di cui alla DTF 130 V 121 consid. 3.2.. Visto che, con la decisione su opposizione impugnata, l’CO 1 ha riconosciuto a RI 1 una rendita d’invalidità proprio del 13%, il suo ricorso deve essere respinto perlomeno su questo punto. 2.4. Entità della menomazione all’integrità.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w:t>
      </w:r>
    </w:p>
    <w:p>
      <w:r>
        <w:rPr>
          <w:b/>
        </w:rPr>
        <w:t>E. 24</w:t>
      </w:r>
    </w:p>
    <w:p>
      <w:r>
        <w:t>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Dalle tavole processuali risulta che l’CO 1 ha riconosciuto all’assicurato un’IMI aggiuntiva del 5% , facendo riferimento al parere enunciato al riguardo dal chirurgo ortopedico dott. __________. Questo il tenore della valutazione da lui espressa in occasione della visita circondariale di chiusura del 17 ottobre 2014: " (…). 1.     Reperti L’assicurato è portatore di postumi infortunistici importanti e durevoli e presenta uno stato dopo panartrodesi con placca dorsale (APTUS) polso sinistro con innesto di osso spongioso prelevato dalla cresta iliaca sinistra e con osso artificiale il 01.04.2014. Stato dopo diversi interventi con artrodesi STT nel 1992, artroscopia e stato dopo artroplastica di resezione dello stiloide radiale il 28.01.2014 con successiva artrosi dell’articolazione RC e metacarpo. Si nota una fissazione dell’articolazione RC con pro-supinazione ancora libera. Presenta una limitazione funzionale con diminuzione della forza e dolori persistenti. 2.     Valutazione del danno all’integrità 5% 3.     Motivazione Secondo la tabella 5.2 un’artrodesi radiocarpica è indennizzata con il 15%. Nel 1993 era già stata espressa una valutazione del 10% a causa della riduzione della mobilità del metacarpo (semilunare in assenza di un’artrosi). Si aggiunge quindi un 5% per la situazione attuale con artrodesi RC. In base a quanto detto un totale del 15% per l’artrodesi RC è giustificato.” (doc. 259) Chiamato a pronunciarsi su una questione di carattere squisitamente medico, il TCA constata che la tabella 5 edita dalla Divisione di medicina assicurativa dell’INSAI prevede in effetti che a un’artrodesi dell’articolazione radiocarpica, quale quella a cui è stato sottoposto l’insorgente il 1° aprile 2014, corrisponde un’indennità del 15%. Tenuto conto che , con la decisione formale del</w:t>
      </w:r>
    </w:p>
    <w:p>
      <w:r>
        <w:rPr>
          <w:b/>
        </w:rPr>
        <w:t>E. 29</w:t>
      </w:r>
    </w:p>
    <w:p>
      <w:r>
        <w:t>marzo 1993, era già stata riconosciuta un’IMI del 10% (cfr. il consid. 1.1.), è corretto che l’assicurato ora sia stato posto al beneficio di un’indennità aggiuntiva del 5%. Da parte sua, il ricorrente pretende di aver diritto a un’indennità pari al 25%, riferendosi a quanto indicato dal suo medico curante specialista nel rapporto del 10 giugno 2015 (cfr. doc. 309, p. 2: “Per quanto riguarda la menomazione funzionale dopo un’artrodesi totale del polso valuterei come giustificato un 20-25%.”). Visto che la percentuale di IMI riconosciuta dall’amministrazione è esattamente quella che prevede la pertinente tabella, questo Tribunale non ritiene fondato il parere del dott. __________ e, quindi, nemmeno la pretesa del ricorrente. Anche per quanto riguarda l’entità dell’IMI, il ricorso di RI 1 non può dunque essere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