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35.2015.76 vom 2. März 2016</w:t>
      </w:r>
    </w:p>
    <w:p>
      <w:r>
        <w:t>TI Tribunale d'appello, 2016-03-02, IT</w:t>
      </w:r>
    </w:p>
    <w:p>
      <w:r>
        <w:rPr>
          <w:b/>
        </w:rPr>
        <w:t xml:space="preserve">Quelle: </w:t>
      </w:r>
      <w:r>
        <w:t>https://mcp.opencaselaw.ch/entscheid/ti_gerichte_35.2015.76</w:t>
      </w:r>
    </w:p>
    <w:p>
      <w:r>
        <w:t>FR: TI_GERICHTE 35.2015.76 du 2 mars 2016</w:t>
      </w:r>
    </w:p>
    <w:p>
      <w:r>
        <w:t>IT: TI_GERICHTE 35.2015.76 del 2 marzo 2016</w:t>
      </w:r>
    </w:p>
    <w:p>
      <w:pPr>
        <w:pStyle w:val="Heading2"/>
      </w:pPr>
      <w:r>
        <w:t>Regeste</w:t>
      </w:r>
    </w:p>
    <w:p>
      <w:r>
        <w:t>Trauma contusivo/distorsivo al rachide. Sintomatologia non oggettivabile. Causalità adeguata (causalità naturale rimasta indecisa) dichiarata estinta a distanza di 1 anno e mezzo circa dal sinistro, in applicazione della "psico-prassi"</w:t>
      </w:r>
    </w:p>
    <w:p>
      <w:pPr>
        <w:pStyle w:val="Heading2"/>
      </w:pPr>
      <w:r>
        <w:t>Erwägungen</w:t>
      </w:r>
    </w:p>
    <w:p>
      <w:r>
        <w:rPr>
          <w:b/>
        </w:rPr>
        <w:t>E. 29</w:t>
      </w:r>
    </w:p>
    <w:p>
      <w:r>
        <w:t>agosto 2014, non costituivano una conseguenza adeguata dell’evento infortunistico che l’ha visto vittima il 25 aprile 2013.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La decisione su opposizione impugnata, mediante la quale l’istituto assicuratore ha posto termine alle proprie prestazioni dal 29 agosto 2014, merita dunque di essere confermata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