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35.2015.7 vom 15. April 2015</w:t>
      </w:r>
    </w:p>
    <w:p>
      <w:r>
        <w:t>TI Tribunale d'appello, 2015-04-15, IT</w:t>
      </w:r>
    </w:p>
    <w:p>
      <w:r>
        <w:rPr>
          <w:b/>
        </w:rPr>
        <w:t xml:space="preserve">Quelle: </w:t>
      </w:r>
      <w:r>
        <w:t>https://mcp.opencaselaw.ch/entscheid/ti_gerichte_35.2015.7</w:t>
      </w:r>
    </w:p>
    <w:p>
      <w:r>
        <w:t>FR: TI_GERICHTE 35.2015.7 du 15 avril 2015</w:t>
      </w:r>
    </w:p>
    <w:p>
      <w:r>
        <w:t>IT: TI_GERICHTE 35.2015.7 del 15 aprile 2015</w:t>
      </w:r>
    </w:p>
    <w:p>
      <w:pPr>
        <w:pStyle w:val="Heading2"/>
      </w:pPr>
      <w:r>
        <w:t>Regeste</w:t>
      </w:r>
    </w:p>
    <w:p>
      <w:r>
        <w:t>I costi preventivati per il trattamento dentale fatto valere non possono essere riconosciuti concernendo anche la riparazione di un danno non in nesso di causalità con l'infortunio assicurato.Corretta la presa a carico unicamente dei costi indicati dal dentista consulente dell'amministrazione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Con la propria impugnativa, l’assicurato ha sollevato obiezioni anche a proposito della quantificazione degli importi pagati dall’assicuratore LAINF agli altri dentisti che hanno avuto in cura l’assicurato prima del dr. __________ della __________ e ad una loro restituzione, che secondo il ricorrente avrebbe dovuto essere richiesta dall’CO 1 alla luce della non conformità alle norme degli interventi messi in atto (doc. I). Ora, secondo costante giurisprudenza, la decisione impugnata costituisce il presupposto e il contenuto della contestazione sottoposta all'esame giudiziale (cfr. STF 9C_1011/2010 del 15 dicembre 2011; STF 8C_16/2010 del 3 maggio 2010; STF 8C_360/2010 del 30 novembre 2010; STF 9C_551/2009 del 28 luglio 2009; DTF 131 V 164; DTF 122 V 36 consid. 2a, DTF 110 V 51 consid. 3b e giurisprudenza ivi citata; SVR 1997 UV 81, p. 294). Nella concreta evenienza, nella decisione su opposizione del 18 dicembre 2014 qui impugnata, l’assicuratore infortuni si è espresso unicamente riguardo alla richiesta dell’assicurato di presa a carico dei costi per la cura descritta nel preventivo del 9 giugno 2014 della __________. Alla luce di quanto precede, questa Corte deve quindi limitare il proprio esame a tale oggetto, le ulteriori richieste dell’interessato essendo irricevibili. Nel merito 2.3.   Oggetto della lite è esclusivamente la questione di sapere se l’Istituto assicuratore convenuto ha correttamente o meno riconosciuto “solo” i costi per un nuovo ponte 11xx23x25 con in più un elemento in estensione 26, previo risanamento dentale e paradentale, negando per il resto all’assicurato la presa a carico dei costi figuranti nel preventivo del 9 giugno 2014 della __________, in mancanza di un nesso di causalità tra la cura preventivata e l’infortunio del 10 febbraio 1997.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In concreto, il TCA constata che la decisione dell’CO 1 di non prendere a carico il trattamento proposto dal dr. __________ della __________, ma di riconoscere all’assicurato unicamente i costi relativi alla confezione di un nuovo ponte 11xx23x25 con in più un elemento in estensione 26, trova fondamento nelle certificazioni del proprio medico dentista fiduciario. In effetti, dalla nota stilata dopo il colloquio telefonico del 18 giugno 2014 con il medico-dentista consulente dell’assicuratore infortuni, risulta che “come già indicato, possiamo concedere il benestare per un nuovo ponte 11xx23x25. Non possiamo per contro accettare il lavoro proposto dalla __________ in quanto non adeguato. Provvederà a trasmetterci un preventivo per un nuovo ponte relativo ai lavori a nostro carico per il rilascio del benestare proforma” (doc. 115). Con preventivo del 7 luglio 2014, il dr. __________ ha poi quantificato in fr. 12'116.30 i costi necessari per la confezione di un nuovo ponte 11xx23x25 con in più un elemento in estensione 26 (doc. 116). In seguito, il 12 dicembre 2014, il dr. __________, medico dentista SSO, ha indicato quanto segue: " A seguito dell’infortunio del 1997 era stato riconosciuto un ponte 21x23, nel 2007 sempre per lo stesso un ponte 11xx23x25. Il dentista curante propone ora una riabilitazione completa su impianti. Questa terapia NON può essere considerata quale conseguenza dell’infortunio 10.10331.97.4/91, in quanto i denti del 1° quadrante non erano coinvolti nell’infortunio del 1997. Nel complesso della terapia proposta la CO 1 può riconoscere, proforma, l’equivalente per la confezione di un nuovo ponte 11xx23x25 con in più un elemento in estensione 26, previo risanamento dentale e/o paradentale.” (Doc. 129a) Questo Tribunale non vede ragioni che gli impediscano di fare propria la valutazione espressa dal dr. __________, che, del resto, non è stata smentita tramite la presentazione di referti medico-specialistici in grado di metterla in discussione. Pertanto, il trattamento proposto dal dr. __________ della __________ nel preventivo del 9 giugno 2014 avente come oggetto “quattro impianti e riabilitazione fissa superiore da 11x22x24x26” (doc. 113), non può essere posto a carico dell’CO 1, dato che prevede il risanamento anche di un danno a dei denti del primo quadrante che non erano stati toccati dall’infortunio del 10 febbraio 1997 e che non è quindi in nesso causale con l’infortunio assicurato. Quanto poi alla presunta comunicazione da parte del medico dentista consulente dell’assicuratore di una presunta durata di soli due anni del trattamento riconosciuto dall’CO 1 invocata dal ricorrente, il dr. __________, con scritto dell’11 febbraio 2015, ha attestato che “non ho mai dichiarato al signor RI 1 che il trattamento tramite un nuovo ponte 11xx23x25 da me proposto avesse una garanzia limitata nel tempo (massimo due anni circa)” (doc. VII/1). Il TCA non ha motivo per dubitare di questa attestazione del dr. __________. In esito a quanto sopra esposto, la decisione su opposizione del 18 dicembre 2014 deve essere confermata e il ricorso dell’assicurato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