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35.2015.64 vom 5. Februar 2016</w:t>
      </w:r>
    </w:p>
    <w:p>
      <w:r>
        <w:t>TI Tribunale d'appello, 2016-02-05, IT</w:t>
      </w:r>
    </w:p>
    <w:p>
      <w:r>
        <w:rPr>
          <w:b/>
        </w:rPr>
        <w:t xml:space="preserve">Quelle: </w:t>
      </w:r>
      <w:r>
        <w:t>https://mcp.opencaselaw.ch/entscheid/ti_gerichte_35.2015.64</w:t>
      </w:r>
    </w:p>
    <w:p>
      <w:r>
        <w:t>FR: TI_GERICHTE 35.2015.64 du 5 février 2016</w:t>
      </w:r>
    </w:p>
    <w:p>
      <w:r>
        <w:t>IT: TI_GERICHTE 35.2015.64 del 5 febbraio 2016</w:t>
      </w:r>
    </w:p>
    <w:p>
      <w:pPr>
        <w:pStyle w:val="Heading2"/>
      </w:pPr>
      <w:r>
        <w:t>Regeste</w:t>
      </w:r>
    </w:p>
    <w:p>
      <w:r>
        <w:t>Caduta di un autista di autopostali con danno alla spalla dx. Negata eziologia traumatica ai disturbi al rachide cervicale. Diritto alla rendita d'invalidità e all'IMI: rinvio atti all'assicuratore per approfondimento peritale, in quanto valutazione medico di fiducia non sufficientemente convincente</w:t>
      </w:r>
    </w:p>
    <w:p>
      <w:pPr>
        <w:pStyle w:val="Heading2"/>
      </w:pPr>
      <w:r>
        <w:t>Erwägungen</w:t>
      </w:r>
    </w:p>
    <w:p>
      <w:r>
        <w:rPr>
          <w:b/>
        </w:rPr>
        <w:t>E. 36</w:t>
      </w:r>
    </w:p>
    <w:p>
      <w:r>
        <w:t>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op. cit., p. 121).</w:t>
      </w:r>
    </w:p>
    <w:p>
      <w:r>
        <w:t>2.5.3.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E'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2.5.4.   LINSAI ha allestito una serie di tabelle, dalla griglia molto più serrata, che integrano quella dell'ordinanza.</w:t>
      </w:r>
    </w:p>
    <w:p>
      <w:r>
        <w:t>Semplici direttive di natura amministrativa, esse non hanno valore di legge e non vincolano il giudice (cfr. STFA I 102/00 del 22 agosto 2000; DTF 125 V 377 consid. 1c; STFA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2.5.5.   Lassicuratore LAINF resistente, sentito il parere del proprio medico __________, ha negato al ricorrente il diritto allIMI (cfr. doc. 227, p. 1).</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L’oggetto litigioso è circoscritto alla questione di sapere se l’CO 1 era legittimato a dichiarare l’assicurato totalmente abile nella sua precedente professione (e, pertanto, a negargli di fatto il diritto a una rendita d’invalidità) e a rifiutare il riconoscimento di un’IMI. Preliminarmente, questo Tribunale è però tenuto a esaminare se i disturbi localizzati al rachide cervicale e alla spalla sinistra rappresentano delle conseguenze naturali dell’infortunio del 29 settembre 2011, oppure no. 2.3. Disturbi alla colonna cervicale e alla spalla sinistra: causalità naturale con l’infortunio del 29 settembre 2011? 2.3.1.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2.3.2..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2.3.3.   Nel caso di specie, con la decisione formale del 30 gennaio 2015, l’istituto assicuratore ha negato la propria responsabilità relativamente ai disturbi cervicali presentati dall’insorgente, e ciò facendo capo al parere espresso in proposito dal proprio medico __________ (cfr. doc. 227, p. 1). In effetti, preso atto degli esiti del consulto effettuato presso il dott. __________, spec. FMH in neurologia, il quale aveva concluso che i “… nuovi problemi tipo cervico-brachialgia destra molto probabilmente sono da spiegare con una componente cervicale visto che nelle radiografie, (…), ci sono alterazioni degenerative importanti multi-segmentali”, senza comunque chiari argomenti per ammettere la presenza di una radicolopatia cervicale (cfr. doc. 207, p. 5), la dott.ssa __________, spec. FMH in chirurgia ortopedica, ha negato che tra la problematica in questione e l’infortunio del settembre 2011 vi fosse una relazione di causalità naturale (doc. 208). Con apprezzamento del 24 marzo 2015, il medico fiduciario ha ribadito la propria opinione in merito all’eziologia dei disturbi cervicali (cfr. doc. 232, p. 3: “In base alle degenerazioni multiple ed importanti descritte e incontrate alla radiografia della colonna cervicale in 4 proiezioni, ribadisco che l’insorgenza di nuovi disturbi a distanza di 4 mesi post-operatori è in probabile relazione con le descritte degenerazioni multiple cervicali. L’insorgenza di questi nuovi disturbi non è da mettere in relazione con l’infortunio, visto che si tratta di una degenerazione e non di una lesione post-infortunistica.”). Per quanto riguarda invece la spalla sinistra , disturbi a questo livello sono stati segnalati dal dott. __________, spec. FMH in reumatologia, a margine delle consultazioni che hanno avuto luogo nella primavera 2015. In quella sede, lo specialista ha in effetti diagnosticato una periartropatia omeroscapolare tendinotica cronica a sinistra con, all’esame sonografico, rottura subtotale del tendine sovraspinato (cfr. doc. 244). In data 10 settembre 2015, il dott. __________, spec. FMH in chirurgia ortopedica e traumatologia, ha confermato l’origine morbosa dei disturbi cervicali/cervico-brachiali (cfr. allegato al doc. VIII, p. 9: “I disturbi lamentati a livello cervicale o cervico-brachiale appaiono più probabilmente in rapporto con delle lesioni degenerative alla colonna cervicale e non sono quindi in rapporto di causalità naturale probabile con l’infortunio e i suoi postumi.”). D’altro canto, egli ha sostenuto che la capacità lavorativa dell’assicurato era da valutare facendo astrazione dall’età, dalle alterazioni degenerative a livello cervicale e dallo stato della spalla sinistra (cfr. allegato al doc. VIII, p. 9). Interpellato dal TCA in corso di causa (cfr. doc. XII), il dott. __________ ha dichiarato di condividere il parere secondo il quale i disturbi cervicali e alla spalla sinistra non hanno un’origine traumatica (cfr. doc. XIII, p. 1: “In seguito l’CO 1 ha interpellato il Dr. __________, spec. FMH chirurgia ortopedica e traumatologia, a __________. Questi ha sostenuto che i disturbi cervicali e quelli alla spalla sinistra non abbiano un’origine traumatica (sono perfettamente d’accordo con questa osservazione) …” – il corsivo è del redattore). Chiamata ora a pronunciarsi, visto l’univoco contenuto delle certificazioni mediche appena menzionate, questa Corte reputa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cervico-brachiali e quelli interessanti la spalla sinistra non costituiscono una conseguenza naturale dell’evento infortunistico del 29 settembre 2011. In esito a quanto precede, l’istituto assicuratore convenuto era dunque legittimato a valutare la capacità lavorativa dell’insorgente e la menomazione all’integrità, tenendo conto unicamente dei disturbi infortunistici alla spalla destra . 2.4. Piena capacità lavorativa dal 5 gennaio 2015 (e, pertanto, nessun diritto a una rendita d’invalidità)? 2.4.1. 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op. cit., p. 91). 2.4.2.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RAMI 2004 U 529 citata in precedenza, ha rilevato che anche l'art. 16 LPGA non ha modificato le modalità per la fissazione del grado di invalidità dell'assicurato previsto dal previgente art. 18 cpv. 2 seconda frase LAINF. Nella stessa pronunzia, la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é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2.4.3.   Nella concreta evenienza, dalla decisione formale si evince che l’amministrazione ha posto fine al versamento dell’indennità giornaliera a far tempo dal 5 gennaio 2015, siccome da quella data RI 1 avrebbe ritrovato una piena capacità lavorativa nella sua professione di autista di __________ (cfr. doc. 227). Così facendo, l’istituto assicuratore gli ha implicitamente negato il diritto alla rendita d’invalidità (si veda, del resto, il doc. VIII, p. 12: “Con riferimento ai calcoli di controparte circa un’eventuale rendita di invalidità si rileva che non essendo il ricorrente inabile al lavoro, egli non può essere considerato invalido secondo la LAINF (…).” – il corsivo è del redattore). Questo Tribunale constata che la decisione di ritenere l’assicurato totalmente abile al lavoro, trova il proprio fondamento nei rapporti agli atti dei dottori __________, le cui conclusioni sono state avallate, in un secondo tempo, dal dott. __________. In occasione della visita di controllo del 12 novembre 2014, la dott.ssa __________ ha disposto un approfondimento neurologico e ha precisato che “se l’attuale sintomatologia, insorta dal 15 ottobre 2014, dovesse risultare di origine neurogena cervicale, si confermerà la capacità lavorativa completa già espressa a suo tempo dal PD dott. __________ e ulteriori incapacità lavorative andranno a carico della Cassa malati. Da rivalutare.” (doc. 203, p. 3). Va precisato che, a margine del consulto del 30 settembre 2014, il dott. __________, autore dell’intervento d’impianto di protesi totale, ha auspicato un tentativo di ripresa del lavoro di autista a far tempo dal 27 ottobre 2014 (cfr. doc. 186, p. 2). A fronte delle perplessità sollevate dal datore di lavoro, l’amministrazione ha soprasseduto alla decisione di dichiarare il ricorrente in grado di riprendere il suo lavoro originario (cfr. doc. 188: “Nel frattempo e fino a nuovo avviso, indipendentemente dal certificato medico del Dr. __________, la CO 1 continua a riconoscere una piena indennità giornaliera;”). Presa conoscenza degli esiti del consulto neurologico, in data 1° dicembre 2014, la dott.ssa __________ ha confermato la piena capacità lavorativa dell’assicurato, “… come era definito da parte pd dott. __________.” (doc. 208). Il 3 dicembre 2014, RI 1 è stato nuovamente visitato dal PD dott. __________, il quale ha indicato che la questione della capacità lavorativa sarebbe stata definita dall’CO 1 (doc. 215, p. 2). A margine della consultazione dell’11 febbraio 2015, il dott. __________, spec. FMH in chirurgia ortopedica, ha rilevato che, grazie alla protesi totale inversa, i dolori erano minimamente migliorati, mentre la mobilità dell’arto era peggiorata. Egli ha peraltro precisato che i dolori risentiti dal ricorrente erano in parte imputabili a una problematica cervicale (cfr. doc. 233, p. 2). Chiamata a pronunciarsi sul contenuto del rapporto del dott. __________, la dott.ssa __________ ha confermato “… ulteriormente la presa di posizione dello specialista PD dott. med. __________ nel suo scritto del 30.09.2014 definendo una capacità lavorativa del 100% a partire dal 27.10.2014.” (doc. 238, p. 2). Nella primavera 2015, l’assicurato si è privatamente rivolto al dott. __________ per una valutazione reumatologica. Per quanto qui d’interesse, il sanitario in questione si è espresso in questi termini a proposito della capacità lavorativa: " (…). Per quanto riguarda il problema della capacità lavorativa, dal mio punto di vista questo paziente 63enne è inabile al lavoro nella misura del 100% come autista di __________, non solo per i rari compiti pesanti che la professione comporta ma a causa della problematica cervicale e a causa dei problemi alle 2 spalle che limitano in modo molto importante la rotazione della colonna cervicale, posizioni statiche prolungate (per i problemi a carico della colonna cervicale) e la guida con sicurezza con la necessità di mantenere a lungo gli arti superiori in parziale elevazione e di effettuare rapidi movimenti di rotazione esterna e interna (in presenza di un’insufficienza del sottoscapolare a destra) per muovere il volante.” (doc. 244, p. 3) Con apprezzamento del 10 settembre 2015 - dopo aver giustamente fatto astrazione dai disturbi al rachide cervicale e alla spalla sinistra (cfr. consid. 2.3.3. in fine) -, il dott. __________ non ha condiviso l’apprezzamento del dott. __________, e ciò sulla base delle considerazioni seguenti: " (…). Nonostante la variabilità delle misure di mobilità constatate dal signor RI 1, tendenzialmente in peggioramento progressivo rispetto ai valori migliori misurati a decorso, la mobilità dimostrata appare comunque del tutto compatibile con la guida di un __________. La situazione appare compatibile con l’aiutare qualcuno a scendere o salire dal __________. Trattandosi dei lavaggi del veicolo, con degli accessori adatti, non vi è necessità di procedere ad un’abduzione della spalla oltre a quella dimostrata. Finalmente, per quanto riguarda il fatto di dover montare le catene, penso che si possa accettare, questo senza modificare la capacità lavorativa, che, alla sua età, in esiti di protesi alla spalla destra ma anche in presenza di disturbi cervicali su fondo degenerativo e di disturbi alla spalla sinistra, il signor possa prendere un po’ più di tempo di quello previsto dal regolamento delle __________ per le rare volte in cui gli capiterà di dover svolgere tale attività. In altre parole, il signor RI 1 appare, in considerazione dei postumi infortunistici alla spalla destra, abile senza restrizione di orario o di rendimento nella sua professione di autista di __________, pur se presenta magari in considerazione dei disturbi muscolo-scheletrici globali e della sua età una piccola perdita di rendimento nello svolgimento di attività saltuarie come il montaggio delle catene.” (allegato al doc. VIII, p. 7) In corso di causa, questo Tribunale ha chiesto al reumatologo dott. __________ di ipotizzare che i disturbi legati alla colonna cervicale e quelli alla spalla sinistra abbiano effettivamente un’origine morbosa, e di prendere posizione in merito alla valutazione della capacità lavorativa enunciata dal dott. __________ (doc. XII). A proposito della spalla destra, il reumatologo ha osservato che “… il fatto stesso che siano stati necessari 3 interventi indica che il decorso non è del tutto regolare. Qualcosa non è andata bene. La successione di più interventi è generalmente associata a un risultato non del tutto soddisfacente a livello delle spalle in particolare. La mobilità non è l’unico parametro per decidere della meccanica di una spalla operata. Dal mio punto di vista si può credere a questo paziente che mi è apparso del tutto adeguato quando ci dice che i dolori gli impediscono di lavorare alla guida del proprio veicolo. La descrizione dei dolori molto chiara e coerente (movimenti particolari, fattori scatenanti, netto miglioramento con il riposo, assenza di generalizzazione) rendono un’origine nocicettiva molto probabile. Vale la pena di approfondire questa tematica con i 2 chirurghi ortopedici che hanno avuto a carico il paziente e conoscono la situazione molto meglio di un perito esterno.”. Quindi, egli si è così espresso a proposito della capacità lavorativa: " Dal mio punto di vista, tenendo conto di questi 3 problemi (cervicale, spalla destra e spalla sinistra, ndr), la guida di un autoveicolo di grandi dimensioni che trasporti passeggeri non è più sicura e non è esigibile perché impone al paziente uno sforzo eccessivo e dei dolori ben coerenti con la patologia. Non ritengo corretto imporre a un lavoratore di continuare il proprio lavoro con forti dolori.” (doc. XIII) In data 13 gennaio 2016, il TCA ha ripreso contatto con il dott. __________, al quale è stato chiesto di “… pronunciarsi di nuovo sulla capacità del signor RI 1 di esercitare la professione d’autista di __________, considerando unicamente i disturbi infortunistici alla spalla destra (facendo dunque astrazione dalla sindrome cervicospondilogena e dalla periartropatia a sinistra).” (doc. XIV). Con rapporto datato 15 gennaio 2016, dopo aver ricordato la premessa fatta nel suo precedente scritto, ossia che “… problemi postinfortunistici e soprattutto problemi che si presentino dopo ripetuti interventi chirurgici dovrebbero essere valutati da un chirurgo …”, il dott. __________, “facendo (…) astrazione dei problemi alla colonna cervicale e alla spalla sinistra …”, ha affermato di ritenere “… un’incapacità lavorativa parziale come autista di __________ indicativamente (perché non sono chirurgo ortopedico e soprattutto non conosco in dettaglio la situazione meccanica dopo gli interventi alla spalla destra) del 50%.”. Egli ha peraltro precisato di aver fondato la propria valutazione “… sui disturbi che il paziente riferisce e che mi sembrano del tutto coerenti” e sugli esiti dell’esame clinico che aveva evidenziato una “… insufficienza di uno dei 3 muscoli della cuffia dei rotatori, cioè il sottoscapolare (muscolo che permette la rotazione interna della spalla, funzione necessaria a girare il volante in senso antiorario).” (doc. XV). Invitata a formulare delle osservazioni a proposito delle risposte fornite dal dott. __________, l’amministrazione ha sostenuto che la sua valutazione “… non ha saputo gettare ombre sulla coerenza, l’attendibilità e l’accuratezza dell’opinione dei medici dell’CO 1 ai quali dovrebbe essere, a mente nostra, riconosciuto pieno valore probatorio.” (doc. XVIII, p. 2). 2.4.4.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2.4.5.   Chiamato ora a pronunciarsi nel caso di specie, il TCA non ritiene che gli apprezzamenti agli atti dei medici fiduciari dell’CO 1, gli consentano di concludere che, senza alcun dubbio, RI 1 sarebbe stato in grado di riprendere, a tempo pieno e con un rendimento completo, il suo precedente lavoro di autista di __________, e ciò pur tenendo conto delle sole sequele infortunistiche. In primo luogo, in merito al fatto che la dott. __________ fonda la propria decisione di considerare l’assicurato pienamente abile sul parere del PD dott. __________ (cfr., in particolare, doc. 238, p. 2), va rilevato che, in occasione della visita del 30 settembre 2014, quest’ultimo specialista aveva semplicemente proposto un tentativo (“Versuch”) di ripresa al 100% del lavoro (cfr. doc. 186, p. 2). La ripresa non si era tuttavia concretizzata, in ragione delle resistenze manifestate dal datore di lavoro, il quale aveva (comprensibilmente) preteso delle garanzie circa la totale idoneità del ricorrente a condurre dei mezzi destinati al trasporto di persone (cfr. doc. 187: “È assente da tre anni, ora dovrebbe riprendere il lavoro, ma lui deve avere la garanzia che possa lavorare in misura completa e senza limitazione (deve dunque essere in grado di cambiare una gomma, di mettere le catene, ecc.). Deve avere la garanzia che non abbia limitazioni.” e doc. 188: “Stesse perplessità sono espresse dal DL, il quale dice di non accettare queste conclusioni: prima che possa eventualmente riprendere la guida con passeggeri (mi ricorda che l’autista deve occuparsi della guida anche di scolari) ritiene indispensabile provare l’A. “sul campo” sotto osservazione di un esperto della __________.”). In secondo luogo, questa Corte non può seguire la patrocinatrice dell’assicuratore convenuto allorquando afferma che i referti allestiti dal dott. __________ non sarebbero suscettibili di generare dubbi circa la correttezza delle conclusioni ritenute dai medici fiduciari (cfr. doc. XVIII). Da una parte, occorre precisare che lo specialista appena citato è stato interpellato dall’insorgente per una valutazione reumatologica (cfr. doc. 244, p. 1). Non si tratta quindi del suo medico curante. Al riguardo, va comunque segnalato che, in una sentenza 9C_816/2014 del 17 dicembre 2015, il Tribunale federale ha confermato il giudizio di questa Corte che aveva attribuito maggiore valore probatorio alle certificazioni dettagliate del curante dell’assicurata, rispetto ai rapporti dei medici del SAM. D’altra parte, se è vero che lo stesso dott. __________ ha affermato che sarebbe stato preferibile interpellare uno specialista in chirurgia (ortopedica, segnatamente quelli che hanno operato RI 1), è altrettanto vero che il reumatologo in questione è regolarmente chiamato a effettuare perizie in ambito di assicurazione per l’invalidità, in particolare a valutare la capacità/esigibilità lavorativa degli assicurati. Del resto, in una sentenza 9C_965/2008 consid. 4, pubblicata in RtiD 2010 II p. 208, il TF ha già avuto modo di chiarire che, come in altri settori specialistici della medicina, i confini dell’area di competenza del neurologo, dell’ortopedico e del reumatologo non sono assolutamente netti e, in generale, dipendono dal tipo di affezioni studiate e dalla terapia praticata. Ora, questo Tribunale osserva che, nella pratica, capita di frequente che gli assicuratori, compresi quelli contro gli infortuni, facciano capo a reumatologi quando si tratta di valutare la capacità/esigibilità lavorativa, anche in persone che lamentano lesioni alle spalle. Tenuto conto anche della delicatezza delle mansioni che l’insorgente sarebbe stato chiamato a compiere in caso di ripresa della sua originaria attività professionale, il TCA non è in grado di derimere la questione riguardante la sua capacità lavorativa a decorrere dal 5 gennaio 2015 sulla base della sola documentazione agli atti, ragione per la quale s’impone un approfondimento peritale (in questo senso, si veda la STF 8C_943/2010 del 9 novembre 2011 consid. 3.3 e 3.4). 2.4.6.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é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solo fatto che essa ha fondato la decisione impugnata esclusivamente sul parere dei propri medici fiduciari (per un caso analogo, si veda la STF 8C_757/2014 del 16 gennaio 2015 consid. 3.2). P er le ragioni esposte al considerando 2.4.5. , si giustifica pertanto l’annullamento della decisione su opposizione impugnata, perlomeno nella misura in cui l’assicurato è stato dichiarato completamente abile nella sua precedente professione (negandogli di fatto il diritto alla rendita d’invalidità). L’assicuratore resistente, a cui gli atti vengono dunque retrocessi, dovrà disporre un approfondimento peritale esterno volto a chiarire la capacità/esigibilità lavorativa dopo il 4 gennaio 2015, tenuto conto dei soli disturbi infortunistici. Sulla base delle relative risultanze, l’CO 1 sarà poi chiamato a definire nuovamente il diritto a prestazioni, dal profilo materiale e temporale, a contare dal 5 gennaio 2015 . 2.5. Diritto all’indennità per menomazione all’integrità? 2.5.1.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L’assicuratore LAINF resistente, sentito il parere del proprio medico __________, ha negato al ricorrente il diritto all’IMI (cfr. doc. 227, p. 1). In effetti, in data 10 dicembre 2014, riferendosi agli esiti della visita di controllo del 3 dicembre 2014 presso il PD dott. __________, la dott.ssa __________, spec. FMH in chirurgia ortopedica, ha indicato che l’arto superiore destro era risultato mobile oltre i 120° (il dott. __________ aveva misurato una flessione di 150° e un’abduzione di 120° - cfr. doc. 215), di modo che, in applicazione della tabella 1.2, l’assicurato non ha diritto a un’IMI (cfr. doc. 217). Il medico __________ ha ribadito il proprio parere in data 20 aprile 2015 (cfr. doc. 238, p. 2: “Per i soli postumi post-infortunistici l’assicurato non ha diritto ad una IMI secondo le tabelle Suva, sempre facendo astrazione dagli attuali disturbi di origine non post-infortunistica.”). Da parte sua, il ricorrente pretende che, “nel complesso e alla luce della tabelle Suva”, le venga riconosciuta un’indennità del 25% (cfr. doc. I). Tutto ben considerato, secondo il TCA, l’apprezzamento espresso dalla dott.ssa __________ non è sufficientemente preciso né motivato, tanto più che, in una sentenza 35.2000.60 del 17 settembre 2001 consid. 2.4.5. - fondandosi sul parere dell’allora medico __________ dell’CO 1 -, era stata riconosciuta un’IMI del 10% a un assicurato la cui spalla destra era limitata in elevazione a 170° ed in abduzione a 160° e che, inoltre, presentava una diminuzione della forza. Anche allo scopo di garantire l'uguaglianza di trattamento fra gli assicurati, questa Corte ritiene di non poter confermare la decisione su opposizione, nemmeno nella misura in cui l’amministrazione ha negato un’IMI al ricorrente. L’CO 1, a cui gli atti vengono già retrocessi per approfondire la questione della capacità/esigibilità lavorativa (cfr. consid. 2.4.6.), chiederà al perito esterno di valutare anche la menomazione all’integrità legata al danno infortunistico alla spalla destra. In questo contesto - con riferimento a quanto indicato dal dott. __________ a proposito dello stato degenerativo preesistente (cfr. allegato al doc. VIII, p. 5 s.) -, occorrerà valutare l’applicabilità dell’art. 36 cpv. 2 LAINF.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