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35.2015.48 vom 6. August 2015</w:t>
      </w:r>
    </w:p>
    <w:p>
      <w:r>
        <w:t>TI Tribunale d'appello, 2015-08-06, IT</w:t>
      </w:r>
    </w:p>
    <w:p>
      <w:r>
        <w:rPr>
          <w:b/>
        </w:rPr>
        <w:t xml:space="preserve">Quelle: </w:t>
      </w:r>
      <w:r>
        <w:t>https://mcp.opencaselaw.ch/entscheid/ti_gerichte_35.2015.48</w:t>
      </w:r>
    </w:p>
    <w:p>
      <w:r>
        <w:t>FR: TI_GERICHTE 35.2015.48 du 6 août 2015</w:t>
      </w:r>
    </w:p>
    <w:p>
      <w:r>
        <w:t>IT: TI_GERICHTE 35.2015.48 del 6 agosto 2015</w:t>
      </w:r>
    </w:p>
    <w:p>
      <w:pPr>
        <w:pStyle w:val="Heading2"/>
      </w:pPr>
      <w:r>
        <w:t>Regeste</w:t>
      </w:r>
    </w:p>
    <w:p>
      <w:r>
        <w:t>Caduta dalle scale con contusione spalla sx. Sviluppo di capsulite retrattile. Confermata estinzione prest. di corta durata, siccome stato di salute infortunistico stabilizzato. Confermato rifiuto diritto a rendita d'invalidità</w:t>
      </w:r>
    </w:p>
    <w:p>
      <w:pPr>
        <w:pStyle w:val="Heading2"/>
      </w:pPr>
      <w:r>
        <w:t>Erwägungen</w:t>
      </w:r>
    </w:p>
    <w:p>
      <w:r>
        <w:rPr>
          <w:b/>
        </w:rPr>
        <w:t>E. 19</w:t>
      </w:r>
    </w:p>
    <w:p>
      <w:r>
        <w:t>cpv. 1 LAINF va valutata in funzione dell’entità del previsto aumento oppure del ripristino della capacità lavorativa, nella misura in cui quest’ultima è pregiudicata dalle sequele infortunistiche (DTF 134 V 109 consid. 4.3 e riferimenti). 2.2.2.   Nel caso di specie, con il rapporto relativo alla visita medica fiduciaria del 26 giugno 2012 (doc. M 75), dopo aver precisato che la responsabilità dell’assicuratore era circoscritta alla sola spalla sinistra (“non sono ravvisabili fattori estranei all’infortunio che ci occupa a fronte della situazione interessante la spalla sinistra. Le restanti diagnosi indicate nelle conclusioni non sono di natura infortunistica e rientrano nel contesto di malattia .” - il corsivo é del redattore; in questo senso si é peraltro espresso pure il reumatologo dott. __________, autore di una perizia per conto dell’assicuratore d’indennità giornaliera di malattia - cfr. doc. M 30, p. 13: “La periartropatia parzialmente anchilosante alla spalla sinistra é a carico dell’assicurazione LAINF, mentre le altre patologie riferite sono a carico dell’assicurazione malattia.”), il dott. __________, spec. FMH in chirurgia, ha dichiarato che “a fronte dei soli postumi infortunistici, ulteriori provvedimenti terapeutici non consentirebbero miglioramenti sensibili della situazione per cui propongo la definizione del caso . Qualora nel futuro subentrassero peggioramenti dello stato in nesso causale con l’evento in causa e con necessità di cure mediche, il paziente é stato informato che il caso potrà essere riaperto si sensi Lainf.” (il corsivo é del redattore). Questa Corte osserva che dal referto 30 maggio 2012 del dott. __________, autore dell’intervento artroscopico del marzo 2011, risulta in effetti che, a livello della spalla sinistra, “… la situazione clinica é ormai consolidata e non vi sono cambiamenti clinici significativi, riguardando funzionalità della spalla operata, …” (doc. M 70). Ora, alla luce di quanto precede, il TCA condivide la conclusione dell’CO 1 secondo la quale, al più tardi nel settembre 2012, lo stato di salute infortunistico era stabilizzato ai sensi dell’art. 19 cpv. 1 LAINF e della relativa giurisprudenza. Il TCA non ignora che, nel mese di aprile 2013, RI 1 é stata sottoposta a un intervento di riparazione del tendine sovraspinato della spalla destra (cfr. allegato IV) e che, a seguito di ciò, si é sviluppata una CRPS ( Complex regional pain syndrome ) tipo I al braccio destro (cfr. doc. C, D, E, F, G e J). Tuttavia, riguardando l’arto superiore destro, che non era rimasto coinvolto nella caduta del dicembre 2010, tali circostanze non sono suscettibili di mettere in discussione la conclusione circa la stabilizzazione dello stato di salute. Data la stabilizzazione delle condizioni di salute infortunistiche, l’assicuratore LAINF convenuto era dunque legittimato a porre fine alle prestazioni di corta durata (cura medica + indennità giornaliera) e a valutare il diritto alle prestazioni di lunga durata. 2.3. Diritto alla rendita di 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dalla decisione su opposizione impugnata si evince che l’amministrazione ha negato il diritto a una rendita d’invalidità, siccome, posto che “l’assicurata potrebbe essere reintegrata in attività nell’ambito industriale con mansioni d’assemblaggio, stampa, rifinitura, lucidatura, controllo del funzionamento e della qualità, attività di controllo, di sorveglianza, riparazioni, imballaggio, etichettatura. Inoltre, la valutazione delle prospettive di collocamento sul mercato del lavoro libero, porta a ritenere esigibili mansioni non qualificate o semi qualificate nel settore della vendita (addetto all’incasso, venditore all’interno di piccoli centri di vendita, rappresentante nella promozione di prodotti in generale), della logistica (piccoli trasporti, controllo delle merci, e del materiale in entrata e in uscita), che l’assicurata, nonostante i disturbi di origine infortunistica, sarebbe in grado di esercitare a tempo pieno o parziale e con un rendimento completo.”, i postumi infortunistici residuali interessanti la spalla sinistra non le provocherebbero una perdita lucrativa (cfr. doc. L, p. 11). Trattandosi dell’esigibilità lavorativa, con il suo rapporto datato 31 luglio 2012, il medico fiduciario dell’assicuratore convenuto ha in particolare affermato che l’assicurata “… é in grado di eseguire lavori con il cingolo omero-scapolare sinistro in posizione declive o in abduzione non superiore ai 40-60°, elevazione idem, e portante dei pesi non superiori ai 4-5 kg. Nessuna limitazione per la flesso-estensione del gomito, la flesso-estensione del polso, per la presa rozza o fine con il polso sinistro, per la supinazione. La paziente é in grado di effettuare in misura totale i lavori che tengono conto di queste limitazioni.” (doc. M 75, p. 5). Dalla documentazione agli atti si evince che, nel corso del mese di luglio 2012, RI 1 é stata valutata presso il Servizio medico regionale (SMR) dell’AI. Per quanto qui d’interesse, tenuto conto dello stato della spalla sinistra e dei disturbi alle ginocchia (di eziologia morbosa), l’assicurata é stata dichiarata inabile in misura del 30% nell’esercizio della sua abituale professione di ausiliaria di pulizie (25% certificato dal dott. __________ per le affezioni infortunistiche e 5% a causa delle gonalgie), ma in grado di svolgere un’attività adeguata a tempo pieno e con un rendimento completo (cfr. rapporto SMR del 9 luglio 2012, che figura nell’incarto prodotto dall’CO 1). Con la sentenza 32.2013.79 del 22 gennaio 2014, cresciuta incontestata in giudicato, emanata in materia di assicurazione per l’invalidità, questo stesso Tribunale ha tutelato l’operato dell’Ufficio AI, il quale aveva fissato al 100% la residua capacità lavorativa in attività adeguate e rispettose delle limitazioni funzionali. È vero che, in virtù della giurisprudenza secondo la quale il giudice delle assicurazioni sociali, ai fini dell’esame della vertenza, si basa di regola sui fatti che si sono realizzati fino al momento della resa della decisione contestata, il TCA non aveva potuto considerare il danno alla spalla destra, il relativo intervento chirurgico del 4 aprile 2013, nonché la successiva evoluzione negativa con insorgenza di una sindrome mano-spalla nel quadro di una CRPS, é tuttavia altrettanto vero che, nella misura in cui riguardano l’arto superiore destro , tali circostanze non concernono la CO 1 (cfr. il considerando 2.2.2. della presente pronunzia). In esito alle considerazioni che precedono, è dunque lecito concludere che, da un profilo medico, la ricorrente sarebbe in grado di svolgere, a tempo pieno e con un rendimento completo, un’attività lavorativa leggera dal profilo del sollevamento/trasporto di pesi e del maneggio di attrezzi e non comportante la necessità di utilizzare il braccio sinistro sopra l’orizzontale. Tale conclusione trova pieno conforto nei precedenti giurisprudenziali riportati qui di seguito, riguardanti assicurati che accusavano limitazioni nell’utilizzo degli arti superiori.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é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In un giudizio I 27/06 e U 18/06 del 24 agosto 2006 consid. 5.2.3, il TFA ha considerato in grado di svolgere a tempo pieno semplici mansioni di sorveglianza, rispettivamente, di controllo, così come lavori in un chiosco nonchè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istabilità a livello delle articolazioni interfalangee dell’anulare, divenendo praticamente monca di una mano, l’Alta Corte ha ammesso una piena capacità lavorativa dal profilo ortopedico. In merito ai dubbi sollevati con il ricorso circa le reali possibilità di reperire sul mercato generale del lavoro un’attività adeguata, il TCA osserva innanzitutto che, secondo la giurisprudenza, se è vero che vanno indicate possibilit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STF 8C_399/2007 del 23 aprile 2008; VSI 1998 p. 296 consid. 3b; STFA U 329/01 del 25 febbraio 2003, consid. 4.7). D’altro canto, occorre tener conto che il concetto d’invalidità è riferito a un mercato del lavoro equilibrato ,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 edizione, n. 170 p. 899). Del resto, in una sentenza 8C_94/2012 del 29 marzo 2012 consid. 3.2, il Tribunale federale ha confermato che anche per gli assicurati che possono utilizzare un solo braccio , esiste un mercato del lavoro sufficientemente ampio: " Die Gerichtspraxis geht davon aus, dass der ausgeglichene Arbeitsmarkt für Personen, welche funktionell als Einarmige zu betrachten sind und überdies nur noch leichte Arbeiten verrichten können, genügend realistische Betätigungsmöglichkeiten bietet . Zu denken ist etwa an einfache Überwachungs-, Prüf- und Kontrolltätigkeiten sowie an die Bedienung und Überwachung von (halb-) automatischen Maschinen oder Produktionseinheiten, die nicht den Einsatz beider Arme und beider Hände voraussetzen (vgl. Urteile 8C_207/2009 vom 8. September 2009 E. 3.2 und 8C_635/2007 vom 27. August 2008 E. 4.2 mit Hinweisen). Solche Arbeitsstellen bestehen auch in produktionsnahen Betrieben, weshalb sich eine Einschränkung des in Betracht zu ziehenden Arbeitsmarktes auf den Dienstleistungssektor nicht aufdrängt. “ (il corsivo é del redattore) Va inoltre ricordato che le difficoltà del mercato del lavoro rappresentano un elemento estraneo all’invalidità. In effetti, secondo dottrina e giurisprudenza, l’assicurato deve compiere ogni sforzo per valorizzare al massimo le sue capacità di guadagno (cfr. STFA inedita del 10 settembre 1998 nella causa S.;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 nozione quest’ultima certo teorica e astratta ma inerente al sistema e fondata sull’art. 16 LPGA, implicante da una parte un certo equilibrio tra offerta e domanda di manodopera e, dall'altra, un mercato del lavoro strutturato in modo tale da offrire una gamma di posti di lavoro diversificati -, né l’assicurazione per l’invalidità né quella contro gli infortuni sono tenute a rispondere (cfr. DTF 110 V 276 consid. 4c; RCC 1991 p. 332 consid. 3b). Appare infine irrilevante anche il richiamo alla formazione e all’esperienza maturata dalla ricorrente, visto che le attività che entrano in linea di conto non richiedono una preparazione professionale specifica ma possono già essere esercitate dopo una semplice introduzione al lavoro ed un breve periodo di rodaggio. 2.3.4. Si tratta ora di valutare le conseguenze economiche del danno alla salute infortunistico. Per quanto concerne il reddito da valido , la CO 1 ha fatto capo al dato stabilito dall’UAI nella decisione formale del 29 marzo 2013, ossia fr. 21'615, corrispondente a quanto conseguito dall’assicurata nel 2010 lavorando quale ausiliaria di pulizia alle dipendenze del Comune di __________ e dello studio medico del dott. __________, con un pensum complessivo del 45% (18 ore settimanali; cfr. doc. L, p. 9 e la decisione 29 marzo 2013 dell’UAI, che figura nell’incarto prodotto dall’CO 1). Con l’impugnativa, l’assicurata ha dichiarato di non contestare l’entità del reddito da valido ritenuto dall’amministrazione (cfr. doc. I, p. 6: “Se, da un lato, il reddito da persona valida può anche essere accettato , così come presentato, … - il corsivo é del redattore). Al riguardo, il TCA osserva quanto segue. In ossequio alla DTF 128 V 174 consid. 4a, per la valutazione del grado d’invalidità fanno stato i redditi riferiti all’anno in cui sarebbe insorto l’eventuale diritto alla rendita di invalidità ( in casu , i redditi del 2012 ). D’altra parte, secondo una costante giurisprudenza, nell’ambito dell’assicurazione contro gli infortuni, il reddito da valido deve essere determinato indipendentemente dal fatto che prima del sinistro l’assicurato svolgesse un’attività lavorativa a tempo parziale oppure a tempo pieno. Per stabilire tanto il reddito da invalido quanto quello da valido, occorre dunque riferirsi a una persona occupata a tempo pieno (cfr. DTF 135 V 287 consid. 3.2 e riferimenti ivi citati). Visti i principi giurisprudenziali precedentemente citati, il reddito considerato dalla CO 1 deve essere proiettato al 2012 e riportato su un tempo lavorativo pieno. Dopo adeguamento all’evoluzione dei salari nominali (+2% - cfr. la relativa tabella pubblicata sul sito web dell’Ufficio federale di statistica), nel 2012, senza il danno alla salute invalidante, l’insorgente avrebbe potuto realizzare un reddito lordo annuo pari a fr. 48'994 , importo corrispondente a un’occupazione a tempo pieno . 2.3.5.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2.3.6.   Dalla decisione su opposizione impugnata risulta che l’amministrazione ha quantificato in fr. 22'848 il reddito da invalido, applicando la tabella TA 1, riportando il dato su un grado d’occupazione del 45% e operando infine una decurtazione del 4% a titolo di deduzione ex DTF 126 V 80 (cfr. doc. l, p. 10). Conformemente alla giurisprudenza federale di cui si è detto al precedente considerando, per la determinazione del reddito ipotetico da invalido tornano applicabili i dati statistici nazionali contenuti nella Tabella TA 1. Utilizzando i dati forniti da questa tabella, l’assicurata,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4’112. Riportando questo dato su 41.7 ore ( cfr. tabella pubblicata sul sito web dell’Ufficio federale di statistica), esso ammonta a fr. 4'286.76 mensili oppure a fr. 51'441.12 per l'intero anno (fr. 4'286.76 x 12). L’insorgente, quale ausiliaria di pulizie, avrebbe guadagnato, nel 2012, fr. 48'994/anno per un’occupazione a tempo pieno. Tale reddito si situa sopra la media dei salari per un'attività equivalente (Tabella TA 1 2012, p.to 96 (“ Autres activités de services ”), livello di qualifica 1: fr. 3’610 riportato su 41.9 ore/settimana = fr. 3'781.47 x 12 mesi = fr. 45'377.64), ragione per la quale non entra in linea di conto una riduzione del reddito statistico a titolo di gap salariale . 2.3.7.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5% (in sede di decisione su opposizione é stato indicato il 4%) sul reddito statistico da invalido a titolo di “attività leggere” (cfr. doc. IV, p. 7). Tenuto conto del riserbo di cui deve dare prova il giudice delle assicurazioni sociali nel sostituire il proprio apprezzamento a quello dell’amministrazione (cfr. DTF 137 V 71, 132 V 393 consid. 3.3), questo Tribunale ritiene che, operando una decurtazione del 5%, la CO 1 non abbia abusato del proprio potere di apprezzamento. In effetti, oltre agli impedimenti funzionali derivanti dal danno alla salute, il caso di specie non presenta altre particolarità che potrebbero giustificare una decurtazione di una maggior entità. Il reddito da invalido, tenuto conto di una decurtazione del 5%, ammonta quindi a fr. 48'869.06 (95% di fr. 51'441.12 ). In conclusione, posto che la ricorrente sarebbe in grado di realizzare, nonostante il danno alla salute infortunistico, un reddito annuo praticamente pari a quello che ella avrebbe conseguito qualora non fosse accaduto l’evento traumatico del 6 dicembre 2010 (fr. 48'869.06 vs fr. 48'994), é a ragione che l’assicuratore LAINF resistente le ha negato il diritto alla rendita.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