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35.2015.45 vom 10. August 2016</w:t>
      </w:r>
    </w:p>
    <w:p>
      <w:r>
        <w:t>TI Tribunale d'appello, 2016-08-10, IT</w:t>
      </w:r>
    </w:p>
    <w:p>
      <w:r>
        <w:rPr>
          <w:b/>
        </w:rPr>
        <w:t xml:space="preserve">Quelle: </w:t>
      </w:r>
      <w:r>
        <w:t>https://mcp.opencaselaw.ch/entscheid/ti_gerichte_35.2015.45</w:t>
      </w:r>
    </w:p>
    <w:p>
      <w:r>
        <w:t>FR: TI_GERICHTE 35.2015.45 du 10 août 2016</w:t>
      </w:r>
    </w:p>
    <w:p>
      <w:r>
        <w:t>IT: TI_GERICHTE 35.2015.45 del 10 agosto 2016</w:t>
      </w:r>
    </w:p>
    <w:p>
      <w:pPr>
        <w:pStyle w:val="Heading2"/>
      </w:pPr>
      <w:r>
        <w:t>Erwägungen</w:t>
      </w:r>
    </w:p>
    <w:p>
      <w:r>
        <w:rPr>
          <w:b/>
        </w:rPr>
        <w:t>E. 7</w:t>
      </w:r>
    </w:p>
    <w:p>
      <w:r>
        <w:t>dicembre 2015 ha avuto luogo un nuovo consulto presso i dottori __________ e __________, neurologi attivi presso la __________, i quali hanno dichiarato che le immagini afferenti alla RMN del novembre 2015 evidenziano una lieve protusione discale a livello di C5/C6, senza elementi per una significativa stenosi del canale spinale cervicale o compressione del midollo quale causa delle parestesie (cfr. doc. G 1).</w:t>
      </w:r>
    </w:p>
    <w:p>
      <w:r>
        <w:t>Il 22 dicembre 2015, RI 1 è stato visitato dal PD __________, primario di chirurgia vertebrale presso la Clinica __________, il quale, in base allesame clinico, ha sospettato la presenza di una sindrome dello stretto toracico (cfr. doc. G 2).</w:t>
      </w:r>
    </w:p>
    <w:p>
      <w:r>
        <w:t>In data 18 febbraio 2016, è stato eseguito un duplex venoso e arterioso succlavie da parte del dott. __________. Dal relativo rapporto si evince che la situazione riscontrata  è similare al 2014 dove identificavo un TOS a sinistra sullarteria succlavia e un lieve TIS (Thoracic inlet syndrome) sulla vena succlavia dx soprattutto compressa dai pettorali. (doc. I 2).</w:t>
      </w:r>
    </w:p>
    <w:p>
      <w:r>
        <w:t>Dallesame elettroneurografico eseguito dal neurologo dott. __________ il 10 marzo 2016 è emerso, a destra, una peggiorata  conduzione segmentale sensitiva antidromica del n. mediano nel canale carpale, latenza distale invariata rispetto allesame del nervo del 2011,  e, a sinistra,  invariata la conduzione motorica, leggermente migliorata la sensitiva antidromica segmentale, ancora leggermente patologica per letà.. Egli ha precisato che la conduzione motoria prossimale normale e simmetrica, con potenziali di sommazione ampi e invariati da prossimale per i nervi mediani,  depone contro un Thoracic Outlet per i tronchi nervosi. (doc. H 1).</w:t>
      </w:r>
    </w:p>
    <w:p>
      <w:r>
        <w:t>Con apprezzamento del 19 maggio 2016, il dott. __________, spec. FMH in chirurgia ortopedica, ha sostenuto che la nuova documentazione non contiene elementi suscettibili di cambiare la conclusione espressa dal dott. __________ nel suo rapporto dell8 ottobre 2015 (doc. XXXIV 1).</w:t>
      </w:r>
    </w:p>
    <w:p>
      <w:r>
        <w:t>Agli atti figura pure una comunicazione dellUAI, datata 7 marzo 2016, in base alla quale lassicurato sarebbe stato sottoposto a un accertamento peritale pluridisciplinare (medicina interna, reumatologia, neurologia e angiologia) per chiarire il suo diritto alle prestazioni (cfr. doc. L 3).</w:t>
      </w:r>
    </w:p>
    <w:p>
      <w:r>
        <w:t>2.7.   Con la propria impugnativa, lassicurato rimprovera in sostanza allCO 1 di aver fondato la propria decisione di rendita (e di IMI) su documentazione medica inaffidabile. Al riguardo, egli fa presente di essere stato visitato dal medico __________, lultima volta, nel novembre 2011 e che, da quella data in poi, il suo stato di salute infortunistico sarebbe peggiorato in maniera rilevante. Per questa ragione, egli ritiene che lesigibilità allora espressa non possa costituire una valida base di giudizio (cfr. doc. I).</w:t>
      </w:r>
    </w:p>
    <w:p>
      <w:r>
        <w:t>Chiamato a pronunciarsi nella presente fattispecie, questa Corte constata che lultima visita di controllo, a margine della quale il dott. __________ aveva dichiarato che lesigibilità da lui stesso descritta nel dicembre 2006 manteneva tutta la sua validità non essendo nel frattempo subentrato alcun peggioramento, ha effettivamente avuto luogo il 14 novembre 2011, mentre la decisione di rendita è stata emanata soltanto nelgennaio 2014(cfr. doc. 172; quella su opposizione addirittura nelmarzo 2015 doc. 192).</w:t>
      </w:r>
    </w:p>
    <w:p>
      <w:r>
        <w:t>Il TCA rileva tuttavia che gli esiti degli approfondimenti che si sono svolti nel frattempo su iniziativa dello stesso ricorrente, non appaiono atti a dimostrare, con un sufficiente grado di verosimiglianza, lintervento di un peggioramento delle condizioni di salute imputabile allinfortunio del 20 aprile 2005 (cfr. il consid. 2.4.), circostanza che è stata evidenziata anche dai medici fiduciari dellamministrazione (cfr. doc. XVI 1 e 2, nonché il doc. XXXIV 1).</w:t>
      </w:r>
    </w:p>
    <w:p>
      <w:r>
        <w:t>Daltra parte, nonostante quanto appena indicato, non può essere ignorato che, come comunicato dal patrocinatore del ricorrente il 6 aprile 2016, lUfficio AI ha ordinato lesecuzione di una perizia pluridisciplinare presso il SAM di __________, comprendente degli accertamenti di medicina interna, di reumatologia, di neurologia e di angiologia (cfr. doc. XXVIII e lallegato doc. L 3, nonché il doc. XXXIX).</w:t>
      </w:r>
    </w:p>
    <w:p>
      <w:r>
        <w:t>Ora, questo Tribunale non può, con sufficiente tranquillità, escludere che dalle risultanze peritali possano emergere elementi di valutazione tali da supportare la tesi ricorsuale secondo la quale, rispetto alla situazione refertata dal medico di circondario ancora nel mese di novembre 2011, è intervenuto un peggioramento nello stato di salute infortunistico, suscettibile dincidere sullapprezzamento dellesigibilità lavorativa (e, dunque, sullentità del grado dellinvalidità) e pure sulla valutazione della menomazione allintegrità di cui è portatore il ricorrente.</w:t>
      </w:r>
    </w:p>
    <w:p>
      <w:r>
        <w:t>Sulla scorta di tali considerazioni, per il TCA sono dati i presupposti per rinviare gli atti allistituto assicuratore convenuto affinché, una volta acquisito il rapporto peritale elaborato dal SAM per conto dellUfficio AI, ne sottoponga le risultanze al proprio servizio medico fiduciario, il quale dovrà allora determinare se dalle medesime emergono elementi attestanti linsorgenza di un peggioramento delle condizioni di salute infortunistiche e, nellaffermativa, valutare nuovamente lesigibilità lavorativa, così come lentità della menomazione allintegrità.</w:t>
      </w:r>
    </w:p>
    <w:p>
      <w:r>
        <w:t>2.8.   Con la propria impugnativa, linsorgente ha chiesto che venisse indetto unpubblico dibattimento.</w:t>
      </w:r>
    </w:p>
    <w:p>
      <w:r>
        <w:t>Confrontato con una richiesta di pubblico dibattimento, il giudice cantonale deve di principio darne seguito. Egli può tuttavia astenersi nei casi previsti dallart. 6 § 1 seconda frase CEDU, ossia quando la domanda é abusiva, quando appare chiaramente che il ricorso é infondato, irricevibile o, al contrario, manifestamente fondato oppure quando loggetto litigioso concerne delle questioni altamente tecniche (cfr. DTF 122 V 47 consid. 3b).</w:t>
      </w:r>
    </w:p>
    <w:p>
      <w:r>
        <w:t>Nella DTF 136 I 279 consid. 3, il Tribunale federale ha precisato che non é possibile rinunciare al pubblico dibattimento per il motivo che la procedura scritta sarebbe più adeguata per discutere una questione di natura medica, anche se loggetto del litigio verte essenzialmente sul confronto di pareri specialistici riguardanti lo stato di salute e lincapacità lavorativa di un assicurato in materia di assicurazione per linvalidità.</w:t>
      </w:r>
    </w:p>
    <w:p>
      <w:r>
        <w:t>Nel caso di specie, essendo realizzata una delle eccezioni previste dallart. 6 § 1 seconda frase CEDU (accoglimento del ricorso), il TCA può astenersi dal dare seguito alla richiesta dellassicurato.</w:t>
      </w:r>
    </w:p>
    <w:p>
      <w:r>
        <w:t>Considerato lesito della vertenza, questo Tribunale può pure esimersi dallesaminare se, omettendo di sottoporre allinsorgente la certificazione 22 maggio 2014 del dott. __________ prima dellemanazione della decisione su opposizione impugnata, listituto assicuratore abbia o meno violato il diritto di essere sentito di RI 1.</w:t>
      </w:r>
    </w:p>
    <w:p>
      <w:r>
        <w:t>2.9.Vistol'esito favorevole del ricorso, l'assicurato, rappresentato da un avvocato, ha diritto al versamento da parte dellassicuratore LAINF di fr. 1500 a titolo di ripetibili.</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L’oggetto litigioso è circoscritto all’entità della rendita d’invalidità e della menomazione all’integrità. Preliminarmente, questa Corte è però tenuta a esaminare se l’istituto assicuratore era legittimato a valutare le prestazioni di lunga durata prendendo in considerazione unicamente i disturbi residuali localizzati alla spalla sinistra , quali erano stati refertati in occasione della visita __________ di chiusura (e successive visite di controllo del 2009 e 2011). 2.3.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2.4.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2.6.   Nel caso di specie, dalle carte processuali si evince che l’amministrazione ha determinato la rendita d’invalidità e l’IMI, facendo capo essenzialmente al rapporto elaborato dal dott. R. __________, spec. FMH in chirurgia ortopedica, a margine della visita medica di chiusura del 4 dicembre 2006. In quell’occasione, l’allora medico __________ ha riscontrato la persistenza di una lussazione ventrale dell’articolazione sterno-clavicolare sinistra non riduttibile, ha dichiarato che lo stato di salute infortunistico non poteva essere migliorato con ulteriori provvedimenti terapeutici e ha infine tracciato l’esigibilità lavorativa (cfr. doc. 53, p. 2). Successivamente, ovvero in occasione delle visite di controllo del 9 marzo 2009 e del 17 novembre 2011, lo stesso medico __________ ha constatato che nel frattempo non erano intervenute modifiche di rilievo nelle condizioni di salute dell’assicurato, di modo che ha confermato che l’esigibilità era rimasta quella che aveva descritto nel dicembre 2006 (cfr. doc. 73, p. 2: “Sia soggettivamente che ogettivamente la situazione è esattamente sovrapponibile a quanto valutato il 4.12.2006 per cui l’esigibilità allora espressa mantiene la sua validità.” e doc. 128, p. 4: “i problemi soggettivi e i reperti oggettivi sono esattamente sovrapponibili a quelli valutati in occasione delle due visite mediche precedenti (4 dicembre 2006 e 9 marzo 2009). L’esigibilità espressa nel 2006 mantiene quindi tutto il suo valore.”). Per quanto riguarda la menomazione all’integrità, il dott. __________ ha quantificato la relativa indennità nel 7.5% in applicazione della tabella 5.2 edita dalla __________ dell’CO 1, rilevando che “i disturbi lamentati dall’assicurato sono paragonabili a quelli che si possono presentare in occasione di un’omartrosi …” (doc. 52). Nell’ambito della procedura di opposizione, su invito dell’avv. RA 1, il quale aveva fatto valere un notevole peggioramento dello stato di salute infortunistico (cfr. doc. 168, p. 1 e 2 e doc. 178), l’assicuratore ha chiesto un resoconto ai diversi medici curanti dell’assicurato (cfr. doc. 182). In particolare, con certificazione datata 22 ottobre 2013, il dott. __________, spec. FMH in chirurgia della mano, ha riferito di aver operato l’insorgente nel dicembre 2012 per una sindrome del tunnel carpale a destra. Alcuni mesi dopo, erano però ricomparse delle parestesie bilaterali (con predominanza sul lato sinistro non operato), in presenza di parametri neurofisiologici normali. Non potendo escludere un’origine cervicale del disturbo, il dott. __________ ha disposto un consulto presso il dott. __________, spec. FMH in neurologia (cfr. doc. 183). Da parte sua, con referto del 22 maggio 2014, il dott. __________ ha rilevato che la TAC dell’apertura toracica eseguita il 13 marzo 2014 era risultata nella norma (cfr. doc. 187, p. 2-3), mentre il duplex venoso e arterioso effettuato dall’angiologo dott. __________, aveva invece lasciato “ancora il dubbio di qualche anomalia circolatoria” (cfr. doc. 187, p. 4). Egli ha quindi concluso affermando di non avere “… una spiegazione neurologica dei disturbi accusati dal paziente a livello degli arti superiori.” (doc. 187, p. 1). Con la decisione su opposizione impugnata, come detto, l’amministrazione si è fondata sull’esigibilità lavorativa definita dal dott. __________ nel dicembre 2006, ritenendo che non fosse stato dimostrato l’intervento di un peggioramento dello stato di salute, tenuto conto che, secondo il neurologo dott. __________, i disturbi denunciati dal ricorrente non trovavano alcuna spiegazione medica (cfr. doc. 192, p. 6). Pendente causa , RI 1 si è sottoposto di sua iniziativa a ulteriori accertamenti medici. Il 1° giugno 2015, egli ha consultato il Prof. dott. __________, responsabile della chirurgia della spalla presso la Clinica __________ di __________. Dal relativo referto risulta che l’assicurato soffre di femomeni parestetici alle due mani e di lievi disturbi legati alla nota sublussazione sternoclavicolare a sinistra. Lo specialista ha inoltre rilevato che l’insorgente è disturbato dall’artrosi sternoclavicolare e dalla sublussazione, ma che non intende assumersi il rischio di un’operazione. Per quanto riguarda i disturbi parestetici, egli ha disposto un approfondimento neurologico, precisando che, qualora vi fosse il sospetto di una stenosi posteriore alla clavicola, il successivo passo diagnostico sarebbe stato un’angiografia (doc. D 2). Il giorno stesso, il ricorrente è stato visitato dagli specialisti in neurologia della __________, i quali, dopo averlo sottoposto ad esami elettrofisiologici, hanno escluso che i disturbi potessero risultare da una sindrome del tunnel carpale oppure da una neuropatia del nervo ulnare a livello del gomito. Essi hanno peraltro consigliato l’esecuzione di una RMN cervicale per escludere la presenza di una stenosi del canale spinale (cfr. doc. D 4). Sempre il 1° giugno 2015, ha avuto luogo anche una visita presso il Prof. dott. __________, responsabile della chirurgia dell’anca presso la Clinica __________. In quell’occasione, egli ha formulato la diagnosi di coxartrosi secondaria a destra (cfr. doc. D 3). L’insorgente ha esplicitamente riconosciuto che tale patologia non è imputabile all’evento traumatico dell’aprile 2005 (cfr. doc. XX, p. 2 pto. 3). L’amministrazione ha sottoposto la documentazione acquisita nel frattempo al proprio servizio medico. Con apprezzamento del 30 settembre 2015, il dott. __________, spec. FMH in neurologia, ha osservato che dal referto 9 giugno 2015 dei dottori __________ e __________ (doc. D 4), non emergono reperti o diagnosi riconducibili all’infortunio assicurato (cfr. doc. XVI 2). Prendendo innanzitutto posizione sul sospetto di sindrome dello stretto toracico, contenuto nel rapporto 4 febbraio 2014 dell’angiologo dott. __________, il dott. __________, spec. FMH in chirurgia ortopedica, ha rilevato che “… l’esame angio-TCA eseguito poi il 13 marzo 2014 ha concluso all’assenza d’alterazioni vascolari. Di conseguenza, anche in esiti di frattura claveare e di lussazione sterno claveare e di lussazione sternoclaveare sinistra, non ci sono nel caso specifico argomenti per una compressione vascolare capace di spiegare i disturbi lamentati dall’assicurato, essendo chiaro che la sensibilità e la specificità di un esame di angio-TAC è superiore a quello di un esame duplex.”. (doc. XVI 1, p. 3). D’altro canto, per quanto concerne il rapporto del Prof. __________, il medico fiduciario appena citato ha affermato che in quel documento vengono “… riferiti i disturbi lamentati dal signor RI 1 a livello sternoclaveare sinistro, senza indizi per una modifica della sintomatologia rispetto a quanto valutato dal dott. __________ in precedenza. Per gli altri disturbi, non sembra che lo specialista sia stato informato delle investigazioni eseguite nel 2014, in particolar modo dell’esame angio-TAC.” (doc. XVI 1, p. 4). Il dott. __________ ha quindi concluso che “… l’esigibilità definita nel 2006, poi confermata nel 2009 e nel 2011 appare sempre valida.” (doc. XVI 1, p. 4). L’esame di RMN del rachide cervicale effettuato l’11 novembre 2015 ha mostrato un’osteocondrosi con spondilolisi, un’artrosi uncovertebrale e una protusione discale a livello di C5-C6, con conseguente “… moderata stenosi foraminale più importante a sinistra, con probabile schiacciamento della radice C6 a sinistra.” (doc. F 1). Il 7 dicembre 2015 ha avuto luogo un nuovo consulto presso i dottori __________ e __________, neurologi attivi presso la __________, i quali hanno dichiarato che le immagini afferenti alla RMN del novembre 2015 evidenziano una lieve protusione discale a livello di C5/C6, senza elementi per una significativa stenosi del canale spinale cervicale o compressione del midollo quale causa delle parestesie (cfr. doc. G 1). Il 22 dicembre 2015, RI 1 è stato visitato dal PD __________, primario di chirurgia vertebrale presso la Clinica __________, il quale, in base all’esame clinico, ha sospettato la presenza di una sindrome dello stretto toracico (cfr. doc. G 2). In data 18 febbraio 2016, è stato eseguito un duplex venoso e arterioso succlavie da parte del dott. __________. Dal relativo rapporto si evince che la situazione riscontrata “… è similare al 2014 dove identificavo un TOS a sinistra sull’arteria succlavia e un lieve TIS (Thoracic inlet syndrome) sulla vena succlavia dx soprattutto compressa dai pettorali.” (doc. I 2). Dall’esame elettroneurografico eseguito dal neurologo dott. __________ il 10 marzo 2016 è emerso, a destra, una peggiorata “… conduzione segmentale sensitiva antidromica del n. mediano nel canale carpale, latenza distale invariata rispetto all’esame del nervo del 2011, …” e, a sinistra, “… invariata la conduzione motorica, leggermente migliorata la sensitiva antidromica segmentale, ancora leggermente patologica per l’età.”. Egli ha precisato che la conduzione motoria prossimale normale e simmetrica, con potenziali di sommazione ampi e invariati da prossimale per i nervi mediani, “… depone contro un Thoracic Outlet per i tronchi nervosi.” (doc. H 1). Con apprezzamento del 19 maggio 2016, il dott. __________, spec. FMH in chirurgia ortopedica, ha sostenuto che la nuova documentazione non contiene elementi suscettibili di cambiare la conclusione espressa dal dott. __________ nel suo rapporto dell’8 ottobre 2015 (doc. XXXIV 1). Agli atti figura pure una comunicazione dell’UAI, datata 7 marzo 2016, in base alla quale l’assicurato sarebbe stato sottoposto a un accertamento peritale pluridisciplinare (medicina interna, reumatologia, neurologia e angiologia) per chiarire il suo diritto alle prestazioni (cfr. doc. L 3). 2.7.   Con la propria impugnativa, l’assicurato rimprovera in sostanza all’CO 1 di aver fondato la propria decisione di rendita (e di IMI) su documentazione medica inaffidabile. Al riguardo, egli fa presente di essere stato visitato dal medico __________, l’ultima volta, nel novembre 2011 e che, da quella data in poi, il suo stato di salute infortunistico sarebbe peggiorato in maniera rilevante. Per questa ragione, egli ritiene che l’esigibilità allora espressa non possa costituire una valida base di giudizio (cfr. doc. I). Chiamato a pronunciarsi nella presente fattispecie, questa Corte constata che l’ultima visita di controllo, a margine della quale il dott. __________ aveva dichiarato che l’esigibilità da lui stesso descritta nel dicembre 2006 manteneva tutta la sua validità non essendo nel frattempo subentrato alcun peggioramento, ha effettivamente avuto luogo il 14 novembre 2011, mentre la decisione di rendita è stata emanata soltanto nel gennaio 2014 (cfr. doc. 172; quella su opposizione addirittura nel marzo 2015 – doc. 192). Il TCA rileva tuttavia che gli esiti degli approfondimenti che si sono svolti nel frattempo su iniziativa dello stesso ricorrente, non appaiono atti a dimostrare, con un sufficiente grado di verosimiglianza, l’intervento di un peggioramento delle condizioni di salute imputabile all’infortunio del 20 aprile 2005 (cfr. il consid. 2.4.), circostanza che è stata evidenziata anche dai medici fiduciari dell’amministrazione (cfr. doc. XVI 1 e 2, nonché il doc. XXXIV 1). D’altra parte, nonostante quanto appena indicato, non può essere ignorato che, come comunicato dal patrocinatore del ricorrente il 6 aprile 2016, l’Ufficio AI ha ordinato l’esecuzione di una perizia pluridisciplinare presso il SAM di __________, comprendente degli accertamenti di medicina interna, di reumatologia, di neurologia e di angiologia (cfr. doc. XXVIII e l’allegato doc. L 3, nonché il doc. XXXIX). Ora, questo Tribunale non può, con sufficiente tranquillità, escludere che dalle risultanze peritali possano emergere elementi di valutazione tali da supportare la tesi ricorsuale secondo la quale, rispetto alla situazione refertata dal medico di circondario ancora nel mese di novembre 2011, è intervenuto un peggioramento nello stato di salute infortunistico, suscettibile d’incidere sull’apprezzamento dell’esigibilità lavorativa (e, dunque, sull’entità del grado dell’invalidità) e pure sulla valutazione della menomazione all’integrità di cui è portatore il ricorrente. Sulla scorta di tali considerazioni, per il TCA sono dati i presupposti per rinviare gli atti all’istituto assicuratore convenuto affinché, una volta acquisito il rapporto peritale elaborato dal SAM per conto dell’Ufficio AI, ne sottoponga le risultanze al proprio servizio medico fiduciario, il quale dovrà allora determinare se dalle medesime emergono elementi attestanti l’insorgenza di un peggioramento delle condizioni di salute infortunistiche e, nell’affermativa, valutare nuovamente l’esigibilità lavorativa, così come l’entità della menomazione all’integrità. 2.8.   Con la propria impugnativa, l’insorgente ha chiesto che venisse indetto un pubblico dibattimento . Confrontato con una richiesta di pubblico dibattimento, il giudice cantonale deve di principio darne seguito. Egli può tuttavia astenersi nei casi previsti dall’art. 6 § 1 seconda frase CEDU, ossia quando la domanda é abusiva, quando appare chiaramente che il ricorso é infondato, irricevibile o, al contrario, manifestamente fondato oppure quando l’oggetto litigioso concerne delle questioni altamente tecniche (cfr. DTF 122 V 47 consid. 3b). Nella DTF 136 I 279 consid. 3, il Tribunale federale ha precisato che non é possibile rinunciare al pubblico dibattimento per il motivo che la procedura scritta sarebbe più adeguata per discutere una questione di natura medica, anche se l’oggetto del litigio verte essenzialmente sul confronto di pareri specialistici riguardanti lo stato di salute e l’incapacità lavorativa di un assicurato in materia di assicurazione per l’invalidità. Nel caso di specie, essendo realizzata una delle eccezioni previste dall’art. 6 § 1 seconda frase CEDU (accoglimento del ricorso), il TCA può astenersi dal dare seguito alla richiesta dell’assicurato. Considerato l’esito della vertenza, questo Tribunale può pure esimersi dall’esaminare se, omettendo di sottoporre all’insorgente la certificazione 22 maggio 2014 del dott. __________ prima dell’emanazione della decisione su opposizione impugnata, l’istituto assicuratore abbia o meno violato il diritto di essere sentito di RI 1. 2.9. V isto l'esito favorevole del ricorso, l'assicurato, rappresentato da un avvocato, ha diritto al versamento da parte dell’assicuratore LAINF di fr. 1’500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