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35.2015.30 vom 18. Juni 2015</w:t>
      </w:r>
    </w:p>
    <w:p>
      <w:r>
        <w:t>TI Tribunale d'appello, 2015-06-18, IT</w:t>
      </w:r>
    </w:p>
    <w:p>
      <w:r>
        <w:rPr>
          <w:b/>
        </w:rPr>
        <w:t xml:space="preserve">Quelle: </w:t>
      </w:r>
      <w:r>
        <w:t>https://mcp.opencaselaw.ch/entscheid/ti_gerichte_35.2015.30</w:t>
      </w:r>
    </w:p>
    <w:p>
      <w:r>
        <w:t>FR: TI_GERICHTE 35.2015.30 du 18 juin 2015</w:t>
      </w:r>
    </w:p>
    <w:p>
      <w:r>
        <w:t>IT: TI_GERICHTE 35.2015.30 del 18 giugno 2015</w:t>
      </w:r>
    </w:p>
    <w:p>
      <w:pPr>
        <w:pStyle w:val="Heading2"/>
      </w:pPr>
      <w:r>
        <w:t>Regeste</w:t>
      </w:r>
    </w:p>
    <w:p>
      <w:r>
        <w:t>Caduta con frattura polso sx. Accertata piena capacità lavorativa nell'abituale professione di architetto-paesaggista. Negata assunzione costi nuovo intervento chirurgico poiché esso non può avere lo scopo di migliorare notevolmente stato di salute infortunistico</w:t>
      </w:r>
    </w:p>
    <w:p>
      <w:pPr>
        <w:pStyle w:val="Heading2"/>
      </w:pPr>
      <w:r>
        <w:t>Erwägungen</w:t>
      </w:r>
    </w:p>
    <w:p>
      <w:r>
        <w:rPr>
          <w:b/>
        </w:rPr>
        <w:t>E. 18</w:t>
      </w:r>
    </w:p>
    <w:p>
      <w:r>
        <w:t>ottobre 2014. Del resto, la valutazione della capacità lavorativa del medico __________, risulta plausibile anche alla luce dei precedenti giurisprudenziali riportati qui di seguito, riguardanti assicurati che accusavano limitazioni nell’utilizzo degli arti superiori.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 un giudizio I 27/06 e U 18/06 del 24 agosto 2006 consid. 5.2.3, il TFA ha considerato in grado di svolgere a tempo pieno semplici mansioni di sorveglianza, rispettivamente, di controllo, così come lavori in un chiosco nonchè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citata a pagina 7 del ricorso, riguardante un’assicurata, la quale, a causa di un infortunio professionale alla mano sinistra adominante, aveva subito l’amputazione del pollice, dell’indice e del medio, come pure una frattura pluriframmentaria della falange basale con istabilità a livello delle articolazioni interfalangee dell’anulare, divenendo praticamente monca di una mano, l’Alta Corte ha ammesso una piena capacità lavorativa dal profilo ortopedico. Per quanto concerne le certificazioni agli atti dello specialista in chirurgia della mano interpellato dall’assicurata, va osservato innanzitutto che lo stesso dott. __________, in data 8 settembre 2014, l’aveva dichiarata pienamente abile al lavoro a partire dal 23 settembre sino al 12 ottobre 2014 (siccome il 14 ottobre 2014 era in programma il noto intervento operatorio, in seguito annullato - cfr. doc. 47). D’altro canto, né con il rapporto del 13 febbraio 2015 né con quello del 9 aprile 2015, egli ha chiaramente attestato l’esistenza di un’incapacità lavorativa nella professione d’architetto paesaggista, limitandosi ad affermare che il danno infortunistico provoca “un certo qual impedimento nelle attività quotidiane” (doc. 142), rispettivamente che l’assicurata “non é forse condizionata in maniera importante nella sua attività di architetto.” (doc. C 2). Tutto ben considerato, secondo questa Corte, il valore probatorio attribuito all’apprezzamento espresso dal medico __________ non risulta sminuito dai referti del dott. __________. In esito a quanto precede, il TCA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ha ritrovato una piena capacità lavorativa nei tempi e nei modi stabiliti dall’assicuratore resistente nella decisione su opposizione impugnata. 2.7.   Posto che la ricorrente ha ritrovato una piena capacità lavorativa nella sua abituale professione (cfr. il consid. 2.6. in fine), occorre dunque concludere che il prospettato intervento chirurgico di trasferimento tendineo non può avere lo scopo di migliorare sensibilmente il suo stato di salute infortunistico ai sensi della giurisprudenza citata al considerando 2.2.. Se ne deduce pertanto che, in applicazione dell’art. 19 cpv. 1 LAINF, i relativi costi non possono essere posti a carico dell’assicuratore resistente. Visto quanto precede, può pure rimanere aperta la questione relativa all’ indicazione medica dell’operazione in discussione. 2.8.   Con la propria impugnativa, l’assicurata ha chiesto che le venga attribuita un’IMI (cfr. doc. I). In proposito, va evidenziato che, secondo la giurisprudenza federale, è la decisione impugnata che costituisce il presupposto ed il contenuto della contestazione sottoposta all'esame giudiziale (cfr. STF 8C_360/2010 del 30 novembre 2010 consid. 1 e 2; DTF 131 V164; DTF 130 V 388; DTF 122 V 36 consid. 2a, DTF 110 V 51 consid. 3b e giurisprudenza ivi citata; SVR 1997 UV 81, p. 294). La questione inerente il diritto all’IMI non é stata affrontata né con la decisione formale né con quella su opposizione (cfr. doc. 140), ragione per la quale questo Tribunale non é legittimato a pronunciarsi in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