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35.2015.17 vom 2. Juni 2015</w:t>
      </w:r>
    </w:p>
    <w:p>
      <w:r>
        <w:t>TI Tribunale d'appello, 2015-06-02, IT</w:t>
      </w:r>
    </w:p>
    <w:p>
      <w:r>
        <w:rPr>
          <w:b/>
        </w:rPr>
        <w:t xml:space="preserve">Quelle: </w:t>
      </w:r>
      <w:r>
        <w:t>https://mcp.opencaselaw.ch/entscheid/ti_gerichte_35.2015.17</w:t>
      </w:r>
    </w:p>
    <w:p>
      <w:r>
        <w:t>FR: TI_GERICHTE 35.2015.17 du 2 juin 2015</w:t>
      </w:r>
    </w:p>
    <w:p>
      <w:r>
        <w:t>IT: TI_GERICHTE 35.2015.17 del 2 giugno 2015</w:t>
      </w:r>
    </w:p>
    <w:p>
      <w:pPr>
        <w:pStyle w:val="Heading2"/>
      </w:pPr>
      <w:r>
        <w:t>Regeste</w:t>
      </w:r>
    </w:p>
    <w:p>
      <w:r>
        <w:t>Assicurato cade nella vasca da bagno e si procura distorsione spalla destra e contusioni a testa, caviglia e gomiti. Ritenuta stabilizzata la situazione post-infortunistica l'assicuratore ha rettamente sospeso prestazioni e rifiutato rendita (grado 9,4%). Confermata IMI del 7,5%</w:t>
      </w:r>
    </w:p>
    <w:p>
      <w:pPr>
        <w:pStyle w:val="Heading2"/>
      </w:pPr>
      <w:r>
        <w:t>Erwägungen</w:t>
      </w:r>
    </w:p>
    <w:p>
      <w:r>
        <w:rPr>
          <w:b/>
        </w:rPr>
        <w:t>E. 28</w:t>
      </w:r>
    </w:p>
    <w:p>
      <w:r>
        <w:t>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2.2.3.   Nella concreta evenienza, dalle carte processuali si evince che, per chiarire la questione della capacità/esigibilità lavorativa, l’Istituto assicuratore ha fatto capo al rapporto del 22 luglio 2011, a margine della visita medica circondariale del 12 luglio 2011, e a quello del 10 giugno 2014 (visita medica di chiusura del 3 giugno 2014). Nel rapporto del 22 luglio 2011 il Dr. __________, spec. FMH in chirurgia ortopedica e medico __________, ha posto la diagnosi di “- Stato dopo trauma contusivo della spalla destra. - Stato dopo intervento di artroscopia sinoviectomia parziale e riparazione SLAP con ancora mitek della spalla destra. - Stato dopo artroscopie e débridement SLAP e tenodesi bicipite - brachiale con AMO delle ancore mitek e infiltrazione gomito destro e sinistro con cortico-steroidi in presenza di due corpi liberi intraarticolari ossificati nel solco ” (doc. 294, pag. 6/7). Il medico __________ ha poi descritto l’esigibilità lavorativa dell’assicurato nel seguente modo: " (…) nessuna limitazione per quanto riguarda il sollevamento di pesi fino a 10 kg all’altezza dei fianchi. Può spesso sollevare pesi fino a 25 kg fino all’altezza dei fianchi. Di rado fino a 45 kg ma mai pesi superiori. Può spesso sollevare oltre l’altezza del petto pesi fino a 5 kg. Di rado può sollevare pesi anche superiori. L’assicurato non ha nessuna limitazione per quanto riguarda l’effettuazione di lavori leggeri e di precisione. Può spesso fare lavori medi. Di rado lavori pesanti ma mai lavori molto pesanti. La rotazione della mano non presenta limitazioni. L’assicurato non può mai fare lavori continuativi sopra la testa, non ha nessuna limitazione per quanto riguarda la rotazione, la posizione seduta e inclinata in avanti così come la posizione in piedi e inclinata in avanti. Anche per la posizione inginocchiata e con ginocchia in flessione non vi sono limitazioni. La posizione seduta e in piedi può essere mantenuta senza problemi. Nessun problema di spostamento.” (doc. 294, pag. 7/8) Nel successivo rapporto del 10 giugno 2014 il Dr. __________ ha confermato l’esigibilità espressa nel rapporto del 22 luglio 2011 “ modificando tuttavia la possibilità di sollevare oltre l’altezza del petto pesi oltre i 5 kg da di rado a talvolta considerato il miglioramento della funzionalità evidenziato ” (doc. 353, pag. 13). Essendo il quadro clinico dell’assicurato incontestato, è quindi superfluo dilungarsi su questo punto, non essendovi contestazione tra le parti (cfr. doc. I, III). Controversa è invece la questione se l’assicuratore infortuni poteva distanziarsi dal calcolo economico svolto dall’assicuratore invalidità. 2.2.4.   Si tratta quindi di valutare le conseguenze economiche del danno alla salute infortunistico. Con la decisione su opposizione del 5 dicembre 2014 l’CO 1 ha negato all’assicurato la rendita d’invalidità a fronte di un discapito economico, dopo il consueto raffronto dei redditi, del 9,46% (doc. 370). L’insorgente, da parte sua, ha concluso che non vi sono ragioni per discostarsi dal calcolo eseguito dall’Ufficio AI che ha ritenuto invece un grado d’invalidità dell’11% (doc. I, pag. 5/6).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al guadagno (DTF 131 V 120).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U183/98 dell'8 luglio 1999, il TFA ha stabilito che l'assicuratore infortuni non deve scostarsi dalla valutazione dell'assicuratore AI, fintanto che quest'ultimo si fonda su un'istruzione approfondita, sia dal profilo medico che dal punto di vista professionale. Infine, gli organi dell'assicurazione invalidità non sono vincolati e devono scostarsi dalla valutazione dall’assicuratore infortuni, allorquando, ad esempio, quest'ultimo abbia tralasciato di operare un raffronto dei redditi (AHI-Praxis 1998 p. 170). L'aspetto del coordinamento è in seguito stato relativizzato in successive sentenze nelle quali il Tribunale federale ha ritenuto non vincolante la valutazione dell'invalidità da parte dell'assicurazione infortuni o dell'assicurazione per l'invalidità l'altro assicuratore (DTF 131 V 362; VSI 2004 pag. 182 consid. 4.3 pag. 186 [I 564/02]; cfr. inoltre pure la sentenza U 148/06 del 28 agosto 2007, consid. 6, pubblicata in DTF 133 V 549). Il TFA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 Il medesimo principio vale anche nei confronti dell’Ufficio AI con riferimento alla valutazione effettuata dall’assicuratore infortuni (STF U 148/2006 del 28 agosto 2007, pubblicata in DTF 133 V 549). La recente giurisprudenza federale ha ancora stabilito che, l’assicurazione per l’invalidità non è vincolata alla valutazione dell’invalidità dell’assicurazione contro gli infortuni (cfr. STF 9C_529/2010 del 24 gennaio 2011; DTF 133 V 549 consid. 6, vedi anche la STF 9C_903/2011 del 25 gennaio 2013). Nel caso concreto, per quanto concerne il reddito da valido , secondo l’CO 1, l’insorgente avrebbe guadagnato nel 2012 (su questo aspetto si veda la DTF 128 V 174) – qualora non fosse rimasto vittima dell’infortunio assicurato – un importo annuo di fr. 77’860.-- (cfr. doc. 360). Questo importo è stato calcolato sulla base delle indicazioni fornite dal datore di lavoro, la __________ (cfr. scritti del 18 dicembre 2009, del 12 aprile 2010 e del 4 settembre 2012, doc. 241, 250, 314) ed è composto dal salario base di fr. 5'500 x 13 mensilità (fr. 71'500.--), oltre a fr. 3'000.-- annui di ore supplementari, e fr. 3'360.-- di indennità di picchetto. L’Ufficio AI, da parte sua, ha calcolato un reddito da valido nel 2010 di fr. 82'215.-- (cfr. decisione UAI del 20 marzo 2013, doc. 324) corrispondente a fr. 6'851.25 mensili. Alla luce delle risposte dettagliate del datore di lavoro, il TCA non ha ragioni per scostarsi dall’importo calcolato dall’Istituto assicuratore. Del resto, come sostiene anche l’CO 1, l’AI non ha fornito un calcolo dettagliato sull’importo da lei utilizzato (doc. 370, pag. 5). 2.2.5.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2.2.6.   Dalla decisione su opposizione impugnata risulta che l’amministrazione ha quantificato in fr. 70'471.-- il reddito da invalido, applicando la tabella TA 1 2012, p.to 24-25 “ Metallurgia; fabbr. prodotti in metallo ”, livello di competenza 2 (fr. 5'674.-- (moltiplicati per 41.4/40 ore per 12 mesi). LCO 1 ha infatti quantificato il reddito post-infortunistico sulla base del salario che egli avrebbe potuto conseguire seguendo la riqualifica come disegnatore metal costruttore, questo in virtù dell’obbligo di ridurre il danno (doc. 370). Questa procedura è stata seguita anche dall’assicurazione invalidità (doc. 324, 370) e non è stata contestata dal ricorrente (doc. I). Conformemente alla giurisprudenza federale di cui si è detto al precedente considerando, per la determinazione del reddito ipotetico da invalido tornano applicabili i dati statistici nazionali contenuti nella tabella TA 1. Utilizzando i dati forniti da questa tabella, l’assicurato, svolgendo nel 2012 una professione nel ramo economico 24-25 (“ Metallurgia; fabbr. prodotti in metallo ”), livello 2, avrebbe potuto realizzare, in media, un salario mensile lordo pari a fr. 5'674.--. Riportando questo dato su 41.4 ore ( cfr. tabella pubblicata sul sito web dell’Ufficio federale di statistica), esso ammonta a fr. 5'872.59 mensili oppure a fr. 70'471.-- per l'intero anno (fr. 5'872.59 x 12). L’assicurato, avesse continuato a lavorare in qualità di operaio edile, avrebbe guadagnato, nel 2012, fr. fr. 77’860.-- (cfr. doc. 360) per un’occupazione a tempo pieno. Tale reddito si situa leggermente al di sopra della media dei salari per un'attività equivalente (tabella TA 1 2012, p.to 41-43 “ Costruzioni ”), livello di qualifica 2: fr. 5’874.-- riportato su 41.5 ore/settimana = fr. 6'094.27 x 12 mesi = fr. 73'131.30) , pertanto, non entra in linea di conto nessuna decurtazione del reddito statistico a titolo di gap salariale (cfr. consid. 2.2.5. in fine). 2.2.7.   Il grado di invalidità dell'insorgente - determinato confrontando i fr. 70'471.-- al reddito che egli avrebbe potuto conseguire senza il danno alla salute, e cioè fr. 77’860.--, risulta essere del 9.49%. Accertato che il grado di invalidità non raggiunge la soglia minima del 10% fissata dall’art. 18 cpv. 1 LAINF, l’amministrazione ha correttamente negato a RI 1 il diritto alla rendita. 2.3. Entità della menomazione all’integrità derivante dall’infortunio del 26 novembre 2004. 2.3.1.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2.3.2.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2.3.3.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2.3.4.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2.3.5.   Nella concreta evenienza, l’assicuratore LAINF convenuto, sentito il parere del Dr. __________, ha assegnato al ricorrente un’IMI del 7,5% (cfr. doc. 353, 362, 370). Questa la valutazione del medico __________ contenuta nel referto afferente alla visita medica di chiusura del 3 giugno 2014: " 1. Reperti L'assicurato è portatore di postumi infortunistici a seguito di un trauma della spalla destra con lesione SLAP. Stato dopo interventi di refissazione SLAP, asportazione delle ancore Mitek e sinoviectomia. Persiste ancora un modico calo della funzionalità. Persistenti dolori a livello della zona di tenotomia del capo lungo del bicipite. 2. Valutazione del danno all'integrità 7.5%. 3. Motivazione Secondo la tabella 1.2 una periartrite omero scapolare leggera non viene indennizzata con IMI. In caso della stessa di grado medio l'assicurato ha diritto ad un 10%. Secondo sempre la stessa tabella una limitazione funzionale fino a 30° oltre l'orizzonte dà diritto ad una IMI del 10%. In questo caso abbiamo una funzionalità leggermente superiore e migliore rispetto ai 30° oltre l'orizzonte ciò che giustifica una IMI leggermente inferiore al 10%. Anche per quanto riguarda la pe-riartrite omero scapolare ritengo che siamo in una situazione leggermente migliore rispetto ad una periartrite di grado medio. Ritengo quindi giustificato che l'assicurato venga messo a beneficio di una IMI del 7.5%.” (doc. 354). Da parte sua, il ricorrente ha contestato il tasso IMI del 7,5%, senza tuttavia oggettivare le proprie censure (cfr. doc. I, pag. 9) . C hiamata a pronunciarsi su una questione di carattere medico, attentamente vagliata la documentazione presente all’inserto, questa Corte ritiene di non aver validi motivi per scostarsi dall’apprezzamento del medico __________ dell’CO 1, tenuto conto anche che l’insorgente non ha saputo sollevare alcun argomento di carattere medico, suscettibile di creare dei dubbi circa la fondatezza della sua valutazione. Del resto, è utile ricordare che, secondo la giurisprudenza federale, l'indennità per menomazione dell'integrità si valuta sulla base di constatazioni mediche, ciò che significa che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Sulla scorta di quanto precede, questa Corte deve confermare la decisione su opposizione impugnata, anche nella misura in cui l’assicuratore ha posto l’insorgente al beneficio di un’IMI del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