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35.2015.133 vom 5. September 2016</w:t>
      </w:r>
    </w:p>
    <w:p>
      <w:r>
        <w:t>TI Tribunale d'appello, 2016-09-05, IT</w:t>
      </w:r>
    </w:p>
    <w:p>
      <w:r>
        <w:rPr>
          <w:b/>
        </w:rPr>
        <w:t xml:space="preserve">Quelle: </w:t>
      </w:r>
      <w:r>
        <w:t>https://mcp.opencaselaw.ch/entscheid/ti_gerichte_35.2015.133</w:t>
      </w:r>
    </w:p>
    <w:p>
      <w:r>
        <w:t>FR: TI_GERICHTE 35.2015.133 du 5 septembre 2016</w:t>
      </w:r>
    </w:p>
    <w:p>
      <w:r>
        <w:t>IT: TI_GERICHTE 35.2015.133 del 5 settembre 2016</w:t>
      </w:r>
    </w:p>
    <w:p>
      <w:pPr>
        <w:pStyle w:val="Heading2"/>
      </w:pPr>
      <w:r>
        <w:t>Regeste</w:t>
      </w:r>
    </w:p>
    <w:p>
      <w:r>
        <w:t>Determinazione diritto alla rendita d'invalidità e all'IMI. Preliminare esame dell'eziologia di cefalee/cervicalgie e disturbi psichici</w:t>
      </w:r>
    </w:p>
    <w:p>
      <w:pPr>
        <w:pStyle w:val="Heading2"/>
      </w:pPr>
      <w:r>
        <w:t>Erwägungen</w:t>
      </w:r>
    </w:p>
    <w:p>
      <w:r>
        <w:rPr>
          <w:b/>
        </w:rPr>
        <w:t>E. 28</w:t>
      </w:r>
    </w:p>
    <w:p>
      <w:r>
        <w:t>aprile 2015 del dott. __________: " (…). En conclusion cet assuré présente un déficit vestibulaire droit, compensé, ainsi qu’une atteinte vestibulaire centrale, comme séquelle probable de l’accident du 10.10.2011. L’état définitif est atteint. Une rééducation vestibulaire intensive ne me paraît pas indiquée puisque le déficit est compensé. L’atteinte à l’intégrité est de 10% (trobles subjectifs, anomalies objectives légères) .” (doc. 212, p. 6 – il corsivo è del redattore) Con rapporto datato 24 agosto 2015, il dott. __________ ha avallato la valutazione del dott. __________ e, d’altra parte, ha sostenuto che l’importanza dell’ipoacusia presentata dal ricorrente non giustifica il riconoscimento di un’indennità: " (…). Neurootologischen Untersuchungsbericht von Dr. __________ in __________ vom 28.04.2015 zur Kenntnis genommen. Dr. __________ konnte peripher vestibuläre Funktionsstörung rechts mit seinen Untersuchungsresultaten bestätigen, wobei diese peripher vestibuläre Funktionsstörung rechts kompensiert ist. Zudem bestehen Hinweise für eine zentral-vestibuläre Funktionsstörung, die aus ORL-ärztlicher Sicht mit Wahrscheinlichkeit in kausalem Zusammenhang mit dem Unfallereignis vom 10.10.2011 steht. Was den unfallbedingten, entschädigungspflichtigen Integritätsschaden aus ORL-ärztlicher Sicht anbetrifft, so handelt es sich subjektiv um eine leichte Störung des Gleichgewichtsfunktionssystems (temporäres leichtes Benommenheits- und/oder Unsicherheitsgefühl) sowie um eine höchstens mittelschwere objektivierbare Störung des Gleichgewichtsfunktionssystems bei einem positiven pathodiagnostischen Systembefund, was einem unfallbedingten, entschädigungspflichtigen Integritätsschaden von 10% entspricht . Diese Beurteilung stützt sich auf die Tabelle 14 der Integritätsschädigungen. Was die Schädigung des Gehör anbetrifft, so widerspiegelt das Reintonaudiogramm vom 11.02.2015 eine nicht erhebliche Hochton-Innenohrschwerhörigkeit beidseits. Deshalb wird diesbezüglich keine Integritätsentschädigung geschuldet .” (doc. 221 – il corsivo è del redattore) Anche il dott. __________, nella sua perizia del 30 dicembre 2015, ha confermato che l’assicurato non raggiunge i valori per ammettere una menomazione uditiva (cfr. doc. XVII 5, p. 2). Tutto ben considerato, chiamato a pronunciarsi su una questione squisitamente medica, questo Tribunale ritiene che la suesposta (univoca) documentazione medica possa costituire da valido fondamento per il giudizio che è chiamato rendere. Del resto, il ricorrente ha sì preteso l’assegnazione di un’IMI di maggiore entità, tuttavia egli non ha supportato tale sua pretesa con documentazione medica specialistica. Sulla scorta di quanto precede, la decisione su opposizione impugnata merita conferma anche nella misura in cui è stata riconosciuta un’IMI del 10%.</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2.10.3.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2.10.4.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2.10.5.   Dalle tavole processuali si evince che la valutazione della menomazione allintegrità di cui è portatore RI 1, è stata eseguita dai dottori ____________________ e __________, entrambi spec. FMH in ORL.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