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35.2015.132 vom 6. Juni 2016</w:t>
      </w:r>
    </w:p>
    <w:p>
      <w:r>
        <w:t>TI Tribunale d'appello, 2016-06-06, IT</w:t>
      </w:r>
    </w:p>
    <w:p>
      <w:r>
        <w:rPr>
          <w:b/>
        </w:rPr>
        <w:t xml:space="preserve">Quelle: </w:t>
      </w:r>
      <w:r>
        <w:t>https://mcp.opencaselaw.ch/entscheid/ti_gerichte_35.2015.132</w:t>
      </w:r>
    </w:p>
    <w:p>
      <w:r>
        <w:t>FR: TI_GERICHTE 35.2015.132 du 6 juin 2016</w:t>
      </w:r>
    </w:p>
    <w:p>
      <w:r>
        <w:t>IT: TI_GERICHTE 35.2015.132 del 6 giugno 2016</w:t>
      </w:r>
    </w:p>
    <w:p>
      <w:pPr>
        <w:pStyle w:val="Heading2"/>
      </w:pPr>
      <w:r>
        <w:t>Regeste</w:t>
      </w:r>
    </w:p>
    <w:p>
      <w:r>
        <w:t>Assicurato scivola su scala e avverte dolore a spalla dx,con diagnosi iniziale d'instabilità antero-inferiore. Non confermata estinzione causalità naturale a distanza di 5 mesi dall'evento e rinvio atti per perizia esterna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alla questione di sapere se l’assicuratore convenuto era legittimato a porre fine alle proprie prestazioni a contare 1° aprile 2015, oppure no.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Dalle carte processuali emerge che l’amministrazione ha fondato la decisione di dichiarare estinto il proprio obbligo a prestazioni in relazione ai disturbi presenti a livello della spalla destra, sulla base del rapporto 9 febbraio 2015 del dott. __________, spec. FMH in chirurgia ortopedica, e del parere 18 giugno 2015 del dott. __________, spec. FMH in chirurgia. In effetti, a magine della visita di controllo tenutasi nel febbraio 2015, il dott. __________ ha diagnosticato uno stato post-distorsivo alla spalla destra in paziente portatore di una periartrite omero-scapolare calcifica e, al riguardo, ha osservato che la calcificazione era sicuramente preesistente all’infortunio. Egli ha inoltre espresso l’opinione secondo la quale la calcificazione costituiva “… la causa dei disturbi accusati dal paziente visto che all’esame di RM non ha messo in evidenza nessuna patologia di origine post-traumatica.” (doc. 5, p. 2). Va precisato che, antecedentemente alla visita fiduciaria (nel dicembre 2014), l’assicurato aveva privatamente consultato il dott. __________, spec. FMH in chirurgia ortopedica e traumatologia, il quale aveva riscontrato la presenza di un’instabilità antero-inferiore della spalla destra, insorta a seguito di una “elongazione del legamento gleno omerale medio” causata dalla caduta dell’ottobre 2014 (cfr. doc. A 13; in questo senso, si veda pure il doc. A 12). Quindi, con rapporto del 3 marzo 2015, il dott. __________ ha preso posizione nel seguente modo sulle conclusioni del dott. __________: " (…). Secondo il rapporto del Dr. med. __________ il paziente sarebbe affetto da una periartrite omero-scapolare calcifica e non di un’instabilità della spalla. Ho dunque nuovamente considerato l’anamnesi e l’esame clinico del paziente. Anamnesticamente il signor RI 1 riferisce di non aver mai avuto dolori alla spalla. I dolori sono iniziati in seguito al trauma subito il 29 ottobre scorso. Durante la caduta ha appoggiato il braccio esteso dietro al corpo procurandosi così un trauma assiale dell’arto. Attualmente, a 4 mesi di distanza, persistenza di dolori. Tali dolori tuttavia non sono presenti in maniera continua ma con i movimenti in abduzione e rotazione esterna. All’esame clinico il testing della cuffia dei rotatori è normale, apprehention chiaramente positivo, relocation debolmente positivo. Sia l’anamnesi che l’esame clinico mi fanno dunque pensare ad un’instabilità antero-inferiore. D’altra parte è chiaro che non si può escludere una partecipazione della calcificazione nella sintomatologia e ho dunque consigliato al paziente di accettare le proposte del collega Dr. med. __________.” (doc. A 11) Nel corso del mese di giugno 2015, il ricorrente è stato sottoposto a un intervento artroscopico della spalla destra con asportazione delle calcificazioni e borsectomia (cfr. doc. A 9). Invitato dall’amministrazione a esprimersi sull’eziologia dei disturbi lamentati da RI 1 dopo il 1° aprile 2015, con nota manoscritta del 18 giugno 2015, il dott. __________ ha negato l’esistenza di un legame causale con l’evento traumatico assicurato, in quanto “… l’artro RMI spalla dx 18.11.14 a distanza di 3 settimane dall’infortunio, non mostra alcun tipo di lesione diretta traumatica, né indiretta: “edemi ossei, allungamenti tendino-capsulari, ecc.”. La sonografia funzionale marzo ’15: “Dolori proprio quando la calcificazione sparisce sotto l’acromion all’abduzione”. Calcificazione presente ante l’infortunio.” (doc. 2). In occasione della visita del 15 luglio 2015, il PD dott. __________, Viceprimario di chirurgia presso l’Ospedale __________ di __________, autore dell’intervento artroscopico, ha riferito che l’assicurato presentava ancora disturbi e faceva fatica ad alzare il braccio destro (cfr. doc. A 8). Sempre il dott. __________, con referto del 27 agosto 2015, ha sostenuto che si poteva “… supporre un residuo dolore derivante dall’intervento: il fatto di aver operato nello spazio sottoacromiale crea una specie di impingement transitorio secondario. Dall’altro lato il paziente sostiene che il dolore che provava prima dell’intervento è ancora persistente. Da questa affermazione si deve probabilmente dedurre che la causa dei suoi dolori non sia la calcificazione.” (cfr. doc. A 7). Un’artro-RMN della spalla destra eseguita il 26 ottobre 2015 ha mostrato l’esistenza di una lesione del tendine sovraspinato trasmurale a livello pre-inserzionale (cfr. doc. A 4). Nel suo rapporto datato 3 novembre 2015, il dott. __________, responsabile del Servizio di chirurgia della spalla presso l’Ospedale __________ di __________, ha riferito che, all’esame clinico, si evidenziava “… un’instabilità anteriore della spalla destra con Relocation Test e Apprehension Test positivi. Tali sintomi erano verosimilmente presenti fin da dopo il trauma, in quanto il paziente riferisce che da sempre il movimento di abduzione e rotazione esterna è stato dolente e veniva mitigato appoggiando la mano sulla faccia anteriore della spalla destra. In conclusione, si tratta di una rottura a tutto spessore del sovraspinoso in esiti di calcificazione alla spalla destra in un quadro di instabilità antero-inferiore post-traumatica. Il consiglio è quello di sottoporsi ad un nuovo intervento di riparazione del sovraspinoso e un ritensionamento capsulo-legamentoso antero-inferiore alla spalla destra.” (doc. A 4). A margine del consulto del 9 novembre 2015, il PD __________ ha condiviso “… l’indicazione chirurgica con sutura della cuffia e valutazione intraoperatoria di un’eventuale instabilità con videoregistrazione.” (doc. A 5). L’intervento ha avuto luogo in data 2 dicembre 2015. Dal relativo rapporto emerge che, intraoperativamente, è stata oggettivata una “lassità capsulare con positività del d.t.s. test ed elongazione dei legamenti gleno omerali medio e inferiore.”, come pure una “lesione preinserzionale del sovraspinoso ed instabilità clb.” (doc. A 3). 2.7.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 8C_336/2015 del 25 agosto 2015;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2.8.   Ancora in sede di risposta di causa, riferendosi agli apprezzamenti dei suoi medici consulenti, l’assicuratore infortuni convenuto ha fatto valere che i disturbi lamentati da RI 1 erano imputabili alla presenza di una calcificazione della cuffia dei rotatori, preesistente all’infortunio dell’ottobre 2014 (e, quindi, non in nesso di causalità naturale con quest’ultimo – cfr. doc. III, p. 4). Chiamato a pronunciarsi, questo Tribunale non ritiene che i referti agli atti dei dottori __________ e __________, possa no senz’altro costituire da valido supporto probatorio al presente giudizio. Secondo questa Corte, i succitati rapporti non tengono conto di quanto è accaduto successivamente alla loro stesura. In effetti, dagli atti di causa emerge che, posteriormente all’artroscopia del 2 giugno 2015, mediante la quale era stata asportata la calcificazione (cfr. doc. A 9), l’assicurato ha continuato a lamentare i medesimi disturbi alla spalla destra, tanto che il PD dott. __________ ha dichiarato che da ciò si doveva probabilmente dedurre che la causa non era (unicamente) la calcificazione (cfr. doc. A 7). D’altro canto, a margine del consulto del 30 ottobre 2015, il dott. __________ ha in particolare riscontrato, all’esame clinico, la presenza di un’instabilità anteriore della spalla destra, precisando che tale problematica era verosimilmente presente fin da dopo il trauma del 29 ottobre 2014 (cfr. doc. A 4). L’esistenza della patologia in questione è stata confermata intraoperativamente (cfr. doc. A 3). In questo contesto, deve essere ricordato che, già in occasione della visita del 2 dicembre 2014, il chirurgo ortopedico dott. __________ aveva formulato la diagnosi d’instabilità antero-inferiore della spalla destra (cfr. doc. A 13). Il TCA non ignora che, con rapporto del 3 marzo 2015, il dott. __________ non aveva potuto escludere una partecipazione della calcificazione alla sintomatologia e aveva quindi consigliato all’assicurato di accettare le conclusioni del dott. __________ (cfr. doc. A 11). Ciò non può tuttavia essere considerato decisivo poiché quanto attestato dal medico curante specialista è stato superato da quanto è accaduto nel prosieguo, così come già indicato in precedenza. Tutto ben considerato, questo Tribunale ritiene che le considerazioni appena esposte siano atte a creare dei dubbi circa la fondatezza della valutazione enunciata dai dottori __________ e __________, sulla cui base l’amministrazione ha fondato la decisione su opposizione impugnata (cfr. DTF 139 V 225 consid. 5.2). Il TCA non è quindi in grado di derimere, con la necessaria tranquillità, la presente vertenza sulla base della sola documentazione agli atti, ragione per la quale s’impone un approfondimento peritale.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ha fondato la decisione impugnata esclusivamente sul parere dei propri medici consulenti (per un caso analogo, si veda la STF 8C_757/2014 del 16 gennaio 2015 consid. 3.2). P er le ragioni esposte al considerando 2.8. , si giustifica pertanto l’annullamento della decisione su opposizione impugnata e il rinvio degli atti all’assicuratore resistente affinché disponga un approfondimento peritale esterno (art. 44 LPGA) volto a chiarire l’eziologia dei disturbi accusati alla spalla destra da RI 1 dopo il 30 marzo 2015 . Sulla base delle relative risultanze, la CO 1 sarà poi chiamata a definire nuovamente il diritto a prestazioni, dal profilo materiale e temporale, a contare dal 1° aprile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