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35.2015.12 vom 30. September 2015</w:t>
      </w:r>
    </w:p>
    <w:p>
      <w:r>
        <w:t>TI Tribunale d'appello, 2015-09-30, IT</w:t>
      </w:r>
    </w:p>
    <w:p>
      <w:r>
        <w:rPr>
          <w:b/>
        </w:rPr>
        <w:t xml:space="preserve">Quelle: </w:t>
      </w:r>
      <w:r>
        <w:t>https://mcp.opencaselaw.ch/entscheid/ti_gerichte_35.2015.12</w:t>
      </w:r>
    </w:p>
    <w:p>
      <w:r>
        <w:t>FR: TI_GERICHTE 35.2015.12 du 30 septembre 2015</w:t>
      </w:r>
    </w:p>
    <w:p>
      <w:r>
        <w:t>IT: TI_GERICHTE 35.2015.12 del 30 settembre 2015</w:t>
      </w:r>
    </w:p>
    <w:p>
      <w:pPr>
        <w:pStyle w:val="Heading2"/>
      </w:pPr>
      <w:r>
        <w:t>Regeste</w:t>
      </w:r>
    </w:p>
    <w:p>
      <w:r>
        <w:t>Assicurato, già beneficiario di rendita, é vittima di un 2° infortunio che peggiora l'inv.. Soppressione della rendita da parte del 1° assic. Negata adeg. del nesso causale tra disturbi psi. e secondo infortunio. Rinvio per stabilire grado d'invalidità tenuto conto del danno alla salute globale</w:t>
      </w:r>
    </w:p>
    <w:p>
      <w:pPr>
        <w:pStyle w:val="Heading2"/>
      </w:pPr>
      <w:r>
        <w:t>Erwägungen</w:t>
      </w:r>
    </w:p>
    <w:p>
      <w:r>
        <w:rPr>
          <w:b/>
        </w:rPr>
        <w:t>E. 1</w:t>
      </w:r>
    </w:p>
    <w:p>
      <w:r>
        <w:t>fa invece valere che la patologia psichica di cui soffre deve essere riconosciuta dall’amministrazione “… poiché in nesso causale adeguato con l’infortunio del 21 aprile 2011.” (doc. I, p. 13). Da parte sua, questa Corte osserva che l’aspetto psichico è stato indagato dal dott. __________, spec. FMH in psichiatria e psicoterapia, su incarico dell’amministrazione. Dal suo rapporto datato 14 agosto 2013 si evince che RI 1 presentava un disturbo misto di personalità con tratti emotivamente instabili, passivo-aggressivo (ICD-10: F60.8), una sindrome somatoforme da dolore persistente (F45.4) e un disturbo di personalità depressivo (distimia - F34.1) (doc. 45, p. 13). A proposito della patogenesi delle affezioni diagnosticate, lo psichiatra fiduciario ha spiegato trattasi, con verosimiglianza preponderante, di un “… disturbo psicogeno molto probabilmente già apparso in età giovanile e legato a una difficilissima e precaria situazione familiare …”. Quanto al ruolo giocato dagli infortuni, egli ha precisato che essi “… non sembrano essere stati vissuti come un “dramma esistenziale” che ha intaccato l’integrità della sua rete sociale o il più ampio sistema dei valori sociali. Al contrario, si ha quasi l’impressione che gli infortuni costituiscano dei fattori “protettivi” che lo preservano da angosce più profonde riguardo alla tragica storia personale vissuta durante l’infanzia. Durante i colloqui non si è mai mostrato risentito verso le persone che erano state implicate negli infortuni o verso il destino che si era ripetutamente accanito verso di lui (l’ultimo incidente è però capitato senza la responsabilità di terzi). Ciò che impressiona di più è invece il suo generale atteggiamento verso la vita e in particolare verso le figure femminili che reputa responsabili delle ingiustizie subite. In questo senso si tratta di sentimenti e vissuti profondamente radicati e preesistenti agli infortuni in questione che per lui sembrano psichicamente più facilmente elaborabili, perché attribuibili ad un agente esterno chiaramente identificabile (l’infortunio). Gli è invece precluso, vista la scarsa capacità introspettiva, accedere ai vissuti più profondi e nascosti che riguardano le tragiche vicende della sua infanzia/adolescenza.” (doc. 45, p. 14). Il dott. __________ ha quindi dichiarato che le turbe psichiche interessanti gli aspetti affettivi costituiscono una conseguenza soltanto possibile degli eventi traumatici in questione, mentre il disturbo somatoforme persistente ha probabilmente un’eziologia infortunistica (doc. 45, p. 14s.). Infine, sempre secondo lo psichiatra consultato dall’amministrazione, i disturbi psichici di natura traumatica causano un’incapacità lavorativa del 10-20% nell’esercizio di un’attività adeguata (doc. 45, p. 15). Unitamente al proprio ricorso, l’assicurato ha prodotto una certificazione, datata 9 dicembre 2014, della dott.ssa __________, spec. FMH in psichiatria e psicoterapia. Secondo la psichiatra curante, il ricorrente “… è da considerarsi totalmente inabile al lavoro. Considerato il decorso e la gravità dell’affezione un miglioramento dello stato psichico tale da permettere un aumento della capacità lavorativa non è prevedibile, motivo per cui l’incapacità lavorativa è da considerare a tempo indeterminato.” (cfr. doc. G). Tutto ben considerato, il TCA ritiene che la questione eziologica e quella relativa all’entità dell’incapacità lavorativa legata alla problematica psichica, possa rimanere insoluta, visto che quest’ultima non si trova in nesso di causalità adeguata con l’infortunio del 21 aprile 2011, così come verrà meglio dimostrato qui di seguito. 2.2.5.   Nell'esaminare l'adeguatezza del legame causale, in relazione all'evento dell’aprile 2011, bisogna avantutto procedere alla classificazione dell’infortunio occorso al ricorrente. Per quanto riguarda la dinamica , dalla documentazione agli atti si evince che, nell’affrontare la rotonda di __________, probabilmente a causa di una macchia d’olio, la motoclicletta su cui si trovava RI 1 è scivolata, causando la torsione del piede destro rimasto incastrato sotto il veicolo. La diagnosi posta dai sanitari della __________ è stata quella di distorsione Lisfranc con frattura intra-articolare a livello della base del metatarso I del piede destro (cfr. doc. 3).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tra gli infortuni di grado medio al limite della categoria degli infortuni leggeri o insignificanti . A titolo di confronto, questa Corte segnala che il TF ha ritenuto di grado medio (senza essere classificato al limite della categoria degli eventi gravi) l’infortunio occorso a un assicurato che, mentre circolava con la propria motocicletta su una strada principale in condizioni di forte pioggia, entrò in collisione frontale a una velocità di 60-70 km/h con un’autovettura che gli aveva tagliato la strada; la violenza della collisione fu tale che l’assicurato, in stato di elevata dispnea, fu intubato sul luogo dell’incidente ed elitrasportato all’ospedale (STF U 78/07 del 17 marzo 2008 consid. 5). Pure di grado medio, e non al limite della categoria degli eventi gravi, è stato considerato l’infortunio occorso a un motociclista che stava utilizzando, a una velocità di circa 50 km/h, la corsia riservata ai mezzi pubblici per superare dalla parte sinistra una colonna di veicoli fermi, quando un’autovettura uscì improvvisamente dalla colonna, provocando il tamponamento da parte del centauro, il quale si procurò due fratture al femore destro (STFA U 115/05 del 14 settembre 2005 consid. 2.4.). Dello stesso grado di gravità (medio e non al limite della categoria degli eventi gravi) è stato ritenuto l’infortunio occorso a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(STFA U 88/01 del 24 dicembre 2002 consid. 3.3.2.). In una sentenza 35.2014.71 del 15 aprile 2015, questa Corte ha qualificato allo stesso modo, ovvero infortunio di grado medio al limite della categoria inferiore, l’incidente della circolazione stradale in cui un’assicurata, in sella al proprio scooter, è stata urtata da un’autovettura, la cui conducente si era accorta tardivamente che vi era una colonna quasi ferma d’innanzi a lei, cadendo a terra e riportando la frattura non dislocata del capitello radiale sinistro. Il giudice è, quindi, tenuto a valutare le circostanze connesse con l’infortunio, secondo i criteri elaborati dal TFA e qui evocati al consid. 2.2.3.. Affinché possa essere ammessa l’adeguatezza del nesso causale, sarebbe necessario che un fattore sia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criteri di rilievo affinché possa essere riconosciuta l’esistenza del nesso causale adeguato. Innanzitutto, questo Tribunale non può individuare nel modo in cui si è svolto l’evento in questione delle circostanze concomitanti particolarmente drammatiche o una particolare spettacolarità: in fondo, si é trattato di un "normale” incidente della circolazione stradale. Del resto, anche nelle pronunzie federali citate in precedenza, riguardanti delle fattispecie ben più gravi di quella sub judice , l’Alta Corte non ha considerato adempiuto il criterio in discussione oppure lo ha ritenuto realizzato non in modo particolarmente incisivo. D’altro canto, quella riportata dal ricorrente – una distorsione del Lisfranc con frattura intrarticolare della base del metatarso I del piede destro -, costituisce una lesione certamente non banale ma nemmeno grave o particolarmente idonea a provocare un'elaborazione psichica abnorme. A proposito di questo criterio, la giurisprudenza ha precisato che il fatto che le conseguenze infortunistiche abbiano costretto l’assicurato a combiare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Nessun elemento all’inserto permette inoltre di ravvisare gli estremi per ammettere la presenza di una cura medica errata e notevolmente aggravante gli esiti dell’infortunio. Il TCA ritiene che non si possa nemmeno sostenere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 In concreto, la cura medica é consistita, durante le prime sei settimane dopo il trauma, nell’utilizzo di un tutore Walker e nella somministrazione di un anticoagulante. Successivamente, l’assicurato si è sottoposto ad alcuni cicli di fisioterapia in acqua e a secco. Con certificazione del 18 giugno 2012, il medico curante dott. __________ riferiva che la terapia era ormai limitata all’assunzione di analgesici (doc. 30; in questo senso si veda pure il doc. 33). Di tutta evidenza, la cura medica applicata all’assicurato non ha dunque avuto un’intensità tale da giustificare l’adempimento del criterio in discussione (per un caso in cui questa Corte ne ha per contro ammesso la realizzazione, si veda la STCA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è vero che la deambulazione viziata conseguente al danno riportato all’estremità inferiore destra ha peggiorato direzionalmente la pregressa situazione a livello del ginocchio destro (su questo aspetto, si veda il doc. 47, p. 9), tuttavia, secondo questo Tribunale, ciò non basta ancora per considerare adempiuto il criterio in questione. In effetti, occorre tener conto che, nonostante i postumi residuali dell’evento traumatico dell’ aprile 2011 (piede e ginocchio destro), il ricorrente è stato dichiarato in grado di riprendere un’attività lavorativa adeguata nella misura almeno del 75% (cfr. doc. 47, p. 11 – in questo senso, si veda la STF 8C_15/2013 del 24 maggio 2013 consid. 10). D’altro canto, non può neppure essere ignorata la decisione dell’assicurato di rinunciare a sottoporsi a ulteriori cure mediche, dopo che, a margine del consulto del 27 gennaio 2012, il dott. __________ e il PD dott. __________ avevano consigliato una ricostruzione del LCA e del LCL del ginocchio destro (cfr. doc. 47, p. 4). In queste condizioni, può rimanere indeciso se sono adempiuti il criterio dei dolori somatici persistenti e quello del grado e durata dell'incapacità lavorativa , poiché questi due criteri da soli, in presenza di un infortunio di media gravità al limite di quelli leggeri, non potrebbe comunque giustificare l’adeguatezza del nesso di causalità (cfr. RDAT 2003 II n. 67 p. 276, U 164/02 consid. 4.7; RSAS 2001 p. 431, U 187/95). In conclusione, se ne deduce che l’infortunio assicurato non ha avuto, secondo il corso ordinario delle cose e l’esperienza della vita, un significato decisivo per l'instaurazione della problematica psichica : l'adeguatezza del nesso di causalità non può, quindi, venire ammessa. In esito a quanto precede, la CO 1 era dunque legittimata a definire il diritto alle prestazioni di lunga durata facendo astrazione dalla problematica psichica. 2.3. Entità della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dalla decisione formale del 19 settembre 2014 si evince che l’amministrazione ha accordato all’assicurato una rendita d’invalidità del 42% dal 1° ottobre 2014, facendo capo, per quanto concerne l’esigibilità lavorativa, alla valutazione espressa al riguardo dal proprio medico fiduciario (cfr. doc. 48, p. 1). Nel suo rapporto 9 ottobre 2013, il dott. __________, spec. FMH in chirurgia ortopedica, ha in effetti sostenuto che, tenuto conto delle sequele infortunistiche di competenza dell’CO 1, RI 1 risulta essere “… abile al lavoro in misura almeno dei ¾ nello svolgimento di attività prevalentemente sedentarie, con possibilità di libera scelta o per lo meno cambiamento regolare della posizione dell’arto inferiore destro al di sotto del pieno di lavoro e senza necessità di gestione di una pedaliera con la gamba/il piede destro.”. Il fiduciario ha inoltre precisato che “le difficoltà di mantenimento di una posizione seduta in relazione con la pregressa frattura femorale sinistra ed eventuali problemi nell’ingaggio della mano destra in relazione con la pregressa lesione legamentaria scafo-lunare, risultano in effetti essere di pertinenza assicurativa della __________.” (doc. 47, p. 9). Con la propria impugnativa, l’assicurato ha tra l’altro fatto valere che nel calcolo del grado d’invalidità l’assicuratore resistente avrebbe omesso d’includere ex art. 100 cpv. 3 OAINF la rendita del 10% che egli percepiva dall’__________ a seguito dell’infortunio del 9 gennaio 1985 (doc. I, p. 10). Chiamato a pronunciarsi in merito, il TCA rileva che, conformemente alla giurisprudenza, si deve riconoscere una sola rendita quando l’invalidità è imputabile a più infortuni e che occorre perciò utilizzare delle basi di calcolo unitarie (rendite combinate; cfr. DTF 123 V 45 e RAMI 1998 p. 91). Sempre secondo la giurisprudenza, questo principio deve valere anche quando gli infortuni sono coperti da assicuratori diversi. Ciò risulta dall’art. 77 cpv. 3 lett. b LAINF che disciplina la cooperazione degli assicuratori in caso di reiterato infortunio. Fondandosi su questa norma, il Consiglio federale ha emanato l’art. 100 OAINF (obbligo alle prestazioni in caso di reiterato infortunio). Questa disposizione regola il rapporto tra più assicuratori LAINF (cfr. STFA U 345/02 del 30 aprile 2004 consid. 5.2 e riferimenti ivi menzionati) Il capoverso 2 dell’art. 100 OAINF recita che se l'assicurato s'infortuna nuovamente durante la cura per uno o più infortuni, ma dopo la ripresa di un'attività assicurata, l'assicuratore tenuto ad effettuare le prestazioni per il nuovo infortunio effettua pure quelle per gli infortuni precedenti, per quanto il nuovo infortunio dia diritto a indennità giornaliere. Gli altri assicuratori interessati gli rimborsano queste prestazioni, senza indennità di rincaro, in proporzione all'entità causale; in tal modo si liberano dal proprio obbligo di effettuare prestazioni. Gli assicuratori interessati possono derogare a questa regola per convenzione, in particolare se il nuovo infortunio ha conseguenze sensibilmente meno gravi del precedente. Secondo il capoverso 3, se il beneficiario d'una rendita assegnata per un primo infortunio è vittima d'un nuovo infortunio che modifica il grado d'invalidità, l'assicuratore tenuto alle prestazioni per il secondo infortunio deve effettuare tutte le prestazioni. L'assicuratore tenuto alle prestazioni per il primo infortunio versa al secondo assicuratore l'importo corrispondente al valore capitalizzato, senza indennità di rincaro, della parte di rendita imputabile al primo infortunio. Si libera in tal modo dal proprio obbligo. Sempre in questo contesto, la dottrina ha precisato che i danni alla salute addebitabili a diversi infortuni assicurati devono essere riuniti e deve essere stabilita una sola rendita per l’invalidità complessiva. L’entità globale di tale invalidità può corrispondere all’addizione dei gradi d’invalidità che risultano dai diversi infortuni oppure può anche essere più elevata o più bassa (cfr. P. Omlin, Die Invalidität in der obligatorischen Unfallversicherung, Tesi Friborgo 1995, p. 138). A proposito dell’applicabilità dell’art. 100 cpv. 3 OAINF al caso di specie, messa in dubbio dal patrocinatore dell’assicuratore convenuto (cfr. doc. III, p. 10), questo Tribunale osserva in primo luogo che, al momento dell’infortunio dell’aprile 2011, l’insorgente si trovava al beneficio di una rendita d’invalidità del 10% concessa a seguito dell’infortunio assicurato presso l’__________ (cfr. consid. 1.2.). D’altro canto, avendo la CO 1 riconosciuto una rendita del 42% a dipendenza dell’infortunio di sua competenza (cfr. consid. 6), è evidente che quest’ultimo evento ha comportato una modifica del grado d’invalidità ai sensi della succitata disposizione d’ordinanza. Infine, trattandosi dell’obiezione dell’CO 1 secondo la quale la rendita __________ non si giustificava più alla luce del reddito realizzato presso la __________, ci si limita a rilevare che non compete al TCA verificare la correttezza della prestazione corrisposta dall’__________ fino al 30 settembre 2014. Del resto, non può essere ignorato che, proprio in applicazione dell’art. 100 cpv. 3 OAINF, la CO 1 ha incassato dall’__________ un importo pari a fr. 89'593.70, corrispondente al valore capitalizzato della parte di rendita imputabile all’infortunio occorso nel 1985. Accertato che l’art. 100 cpv. 3 OAINF può trovare applicazione nella presente fattispecie, in ossequio alla giurisprudenza e alla dottrina appena citate, l’Istituto assicuratore convenuto avrebbe dovuto fissare il grado d’invalidità prendendo in considerazione sia il danno alla salute derivante dall’infortunio di sua competenza sia quello risultante dall’evento traumatico di pertinenza dell’__________. Così come si evince chiaramente dal suo referto del 9 ottobre 2013, il dott. __________ ha invece valutato l’esigibilità lavorativa dell’assicurato tenendo conto unicamente del danno alla salute interessante l’arto inferiore destro (cfr. doc. 47, p. 11: “ Per quanto attiene agli eventi infortunistici del 14.10.2009 e 22.4.2011 , il signor RI 1 risulta essere abile al lavoro nell’ordine di grandezza dei ¾ nello svolgimento di un’attività prevalentemente sedentaria, con possibilità di libera scelta o per lo meno cambiamento regolare della posizione dell’arto inferiore destro al di sotto del piano di lavoro, senza necessità di gestione di una pedaliera con il piede destro.” – il corsivo è del redattore). In queste condizioni, la fattispecie necessita di un complemento d’istruttoria, non potendo escludere che, considerando il danno alla salute infortunistico nel suo insieme, ne derivi una diversa valutazione dell’esigibilità lavorativa e, quindi, un diverso grado dell’invalidità (su questo aspetto, si veda del resto il doc. 47, p. 9). D’altra parte, il TCA non può nemmeno seguire la patrocinatrice dell’assicurato allorquando pretende che al grado d’invalidità stabilito dalla CO 1 (42%) si debba semplicemente aggiungere la rendita riconosciuta dall’__________ (10%) (cfr. doc. XII, p. 2). 2.3.4.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visto che il rapporto agli atti elaborato dallo specialista interpellato dall’amministrazione necessità di essere completato . P er le ragioni esposte al considerando 2.3.3. , si giustifica pertanto l’annullamento della decisione su opposizione impugnata, nella misura in cui all’assicurato è stata assegnata una rendita d’invalidità del 42%. L’assicuratore resistente, a cui gli atti vengono dunque retrocessi, dovrà risottoporre il caso al dott. __________ affinché valuti l’esigibilità lavorativa prendendo in considerazione il danno alla salute infortunistico nella sua globalità . Sulla base delle relative risultanze, la CO 1 dovrà poi definire nuovamente l’entità della rendita d’invalidità spettante a RI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